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6107E" w14:textId="56BD2374" w:rsidR="00EE0481" w:rsidRPr="001E27F8" w:rsidRDefault="004E46D3" w:rsidP="00031FD0">
      <w:pPr>
        <w:pStyle w:val="Heading1"/>
      </w:pPr>
      <w:r>
        <w:t xml:space="preserve">Foundation </w:t>
      </w:r>
      <w:r w:rsidR="008255C4">
        <w:t xml:space="preserve">Trainee Pharmacists in </w:t>
      </w:r>
      <w:r>
        <w:t>2025/26</w:t>
      </w:r>
    </w:p>
    <w:p w14:paraId="04A36793" w14:textId="36C59D9A" w:rsidR="001D243C" w:rsidRDefault="008255C4" w:rsidP="00F84D98">
      <w:pPr>
        <w:pStyle w:val="Subheading"/>
      </w:pPr>
      <w:r>
        <w:t xml:space="preserve">Information for </w:t>
      </w:r>
      <w:r w:rsidR="009C24A1">
        <w:t>G</w:t>
      </w:r>
      <w:r w:rsidR="00F84D98">
        <w:t xml:space="preserve">eneral </w:t>
      </w:r>
      <w:r w:rsidR="008B2C42">
        <w:t>p</w:t>
      </w:r>
      <w:r>
        <w:t>ractice</w:t>
      </w:r>
      <w:r w:rsidR="00F84D98">
        <w:t>/PCNs</w:t>
      </w:r>
    </w:p>
    <w:p w14:paraId="7E380571" w14:textId="0FD86B3B" w:rsidR="00A368B6" w:rsidRDefault="00A368B6" w:rsidP="00A368B6">
      <w:pPr>
        <w:jc w:val="center"/>
        <w:rPr>
          <w:b/>
          <w:bCs/>
          <w:color w:val="003087" w:themeColor="accent1"/>
          <w:sz w:val="32"/>
          <w:szCs w:val="32"/>
        </w:rPr>
      </w:pPr>
      <w:r w:rsidRPr="00A60804">
        <w:rPr>
          <w:b/>
          <w:bCs/>
          <w:color w:val="003087" w:themeColor="accent1"/>
          <w:sz w:val="32"/>
          <w:szCs w:val="32"/>
        </w:rPr>
        <w:t>If you w</w:t>
      </w:r>
      <w:r>
        <w:rPr>
          <w:b/>
          <w:bCs/>
          <w:color w:val="003087" w:themeColor="accent1"/>
          <w:sz w:val="32"/>
          <w:szCs w:val="32"/>
        </w:rPr>
        <w:t>ould like to host</w:t>
      </w:r>
      <w:r w:rsidRPr="00A60804">
        <w:rPr>
          <w:b/>
          <w:bCs/>
          <w:color w:val="003087" w:themeColor="accent1"/>
          <w:sz w:val="32"/>
          <w:szCs w:val="32"/>
        </w:rPr>
        <w:t xml:space="preserve"> a trainee pharmacist </w:t>
      </w:r>
      <w:r>
        <w:rPr>
          <w:b/>
          <w:bCs/>
          <w:color w:val="003087" w:themeColor="accent1"/>
          <w:sz w:val="32"/>
          <w:szCs w:val="32"/>
        </w:rPr>
        <w:t>in</w:t>
      </w:r>
      <w:r w:rsidRPr="00A60804">
        <w:rPr>
          <w:b/>
          <w:bCs/>
          <w:color w:val="003087" w:themeColor="accent1"/>
          <w:sz w:val="32"/>
          <w:szCs w:val="32"/>
        </w:rPr>
        <w:t xml:space="preserve"> 2025/26, you MUST act by </w:t>
      </w:r>
      <w:r w:rsidR="007B4A6E">
        <w:rPr>
          <w:b/>
          <w:bCs/>
          <w:color w:val="003087" w:themeColor="accent1"/>
          <w:sz w:val="32"/>
          <w:szCs w:val="32"/>
        </w:rPr>
        <w:t>1</w:t>
      </w:r>
      <w:r w:rsidR="007B4A6E" w:rsidRPr="007B4A6E">
        <w:rPr>
          <w:b/>
          <w:bCs/>
          <w:color w:val="003087" w:themeColor="accent1"/>
          <w:sz w:val="32"/>
          <w:szCs w:val="32"/>
          <w:vertAlign w:val="superscript"/>
        </w:rPr>
        <w:t>st</w:t>
      </w:r>
      <w:r w:rsidR="007B4A6E">
        <w:rPr>
          <w:b/>
          <w:bCs/>
          <w:color w:val="003087" w:themeColor="accent1"/>
          <w:sz w:val="32"/>
          <w:szCs w:val="32"/>
        </w:rPr>
        <w:t xml:space="preserve"> </w:t>
      </w:r>
      <w:r w:rsidRPr="00A60804">
        <w:rPr>
          <w:b/>
          <w:bCs/>
          <w:color w:val="003087" w:themeColor="accent1"/>
          <w:sz w:val="32"/>
          <w:szCs w:val="32"/>
        </w:rPr>
        <w:t>March 2024.</w:t>
      </w:r>
    </w:p>
    <w:p w14:paraId="0F104AAB" w14:textId="6FEF9B29" w:rsidR="00183FF3" w:rsidRPr="00A368B6" w:rsidRDefault="00183FF3" w:rsidP="00183FF3">
      <w:pPr>
        <w:spacing w:after="120"/>
        <w:jc w:val="center"/>
        <w:rPr>
          <w:b/>
          <w:bCs/>
          <w:color w:val="003087" w:themeColor="accent1"/>
          <w:sz w:val="32"/>
          <w:szCs w:val="32"/>
        </w:rPr>
      </w:pPr>
      <w:r w:rsidRPr="00A06928">
        <w:rPr>
          <w:b/>
          <w:bCs/>
          <w:color w:val="007A72" w:themeColor="accent5" w:themeShade="BF"/>
          <w:sz w:val="28"/>
          <w:szCs w:val="28"/>
        </w:rPr>
        <w:t xml:space="preserve">Contact your </w:t>
      </w:r>
      <w:r w:rsidR="00FB0EE9">
        <w:rPr>
          <w:b/>
          <w:bCs/>
          <w:color w:val="007A72" w:themeColor="accent5" w:themeShade="BF"/>
          <w:sz w:val="28"/>
          <w:szCs w:val="28"/>
        </w:rPr>
        <w:t>regional pharmacy foundation training</w:t>
      </w:r>
      <w:r w:rsidRPr="00A06928">
        <w:rPr>
          <w:b/>
          <w:bCs/>
          <w:color w:val="007A72" w:themeColor="accent5" w:themeShade="BF"/>
          <w:sz w:val="28"/>
          <w:szCs w:val="28"/>
        </w:rPr>
        <w:t xml:space="preserve"> lead </w:t>
      </w:r>
      <w:r>
        <w:rPr>
          <w:b/>
          <w:bCs/>
          <w:color w:val="007A72" w:themeColor="accent5" w:themeShade="BF"/>
          <w:sz w:val="28"/>
          <w:szCs w:val="28"/>
        </w:rPr>
        <w:t>for support</w:t>
      </w:r>
      <w:r w:rsidRPr="00A06928">
        <w:rPr>
          <w:b/>
          <w:bCs/>
          <w:color w:val="007A72" w:themeColor="accent5" w:themeShade="BF"/>
          <w:sz w:val="28"/>
          <w:szCs w:val="28"/>
        </w:rPr>
        <w:t xml:space="preserve"> (details can be found at the bottom of this document)</w:t>
      </w:r>
      <w:r>
        <w:rPr>
          <w:b/>
          <w:bCs/>
          <w:color w:val="007A72" w:themeColor="accent5" w:themeShade="BF"/>
          <w:sz w:val="28"/>
          <w:szCs w:val="28"/>
        </w:rPr>
        <w:t>.</w:t>
      </w:r>
    </w:p>
    <w:p w14:paraId="2D53BCBD" w14:textId="77777777" w:rsidR="00B36F85" w:rsidRDefault="00B36F85" w:rsidP="00B36F85">
      <w:pPr>
        <w:pStyle w:val="Heading3"/>
      </w:pPr>
      <w:bookmarkStart w:id="0" w:name="_Toc350174611"/>
      <w:r>
        <w:t>Background</w:t>
      </w:r>
    </w:p>
    <w:p w14:paraId="007C61BA" w14:textId="5362DA76" w:rsidR="00B36F85" w:rsidRPr="00F54EB5" w:rsidRDefault="00B36F85" w:rsidP="00B36F85">
      <w:pPr>
        <w:pStyle w:val="ListParagraph"/>
        <w:numPr>
          <w:ilvl w:val="0"/>
          <w:numId w:val="5"/>
        </w:numPr>
        <w:spacing w:after="120"/>
      </w:pPr>
      <w:r w:rsidRPr="00F54EB5">
        <w:t>In January 2021, the GPhC published the revised </w:t>
      </w:r>
      <w:hyperlink r:id="rId11" w:history="1">
        <w:r w:rsidRPr="00C65DF0">
          <w:rPr>
            <w:rStyle w:val="Hyperlink"/>
            <w:rFonts w:ascii="Arial" w:hAnsi="Arial"/>
          </w:rPr>
          <w:t>Standards for the Initial Education and Training of Pharmacists</w:t>
        </w:r>
      </w:hyperlink>
      <w:r w:rsidRPr="00F54EB5">
        <w:t>. </w:t>
      </w:r>
    </w:p>
    <w:p w14:paraId="78508CCC" w14:textId="2E3BA86A" w:rsidR="00CC7ED4" w:rsidRDefault="00B36F85" w:rsidP="00CD56D6">
      <w:pPr>
        <w:pStyle w:val="ListParagraph"/>
        <w:numPr>
          <w:ilvl w:val="0"/>
          <w:numId w:val="5"/>
        </w:numPr>
        <w:spacing w:after="120"/>
      </w:pPr>
      <w:r>
        <w:t>T</w:t>
      </w:r>
      <w:r w:rsidRPr="00F54EB5">
        <w:t>he</w:t>
      </w:r>
      <w:r>
        <w:t xml:space="preserve">se </w:t>
      </w:r>
      <w:r w:rsidRPr="00F54EB5">
        <w:t>provide a set of new learning outcomes that span the whole 5-year initial training period (MPharm degree and the Foundation Training Year) and can link to a continuum of development into post-registration.</w:t>
      </w:r>
      <w:r>
        <w:t xml:space="preserve"> </w:t>
      </w:r>
      <w:r w:rsidR="00CD56D6">
        <w:t xml:space="preserve">They </w:t>
      </w:r>
      <w:r w:rsidR="0091657A" w:rsidRPr="0091657A">
        <w:t>provide newly qualified pharmacists with the necessary consultation skills and confidence to provide the clinical services expected by patients and the NHS, working across health systems - and will enable pharmacists to be independent prescribers at the point of registration.</w:t>
      </w:r>
    </w:p>
    <w:p w14:paraId="1067EA9E" w14:textId="77777777" w:rsidR="00B36F85" w:rsidRDefault="00B36F85" w:rsidP="00B36F85">
      <w:pPr>
        <w:pStyle w:val="ListParagraph"/>
        <w:numPr>
          <w:ilvl w:val="0"/>
          <w:numId w:val="5"/>
        </w:numPr>
        <w:spacing w:after="120"/>
      </w:pPr>
      <w:r>
        <w:t>NHS England will be taking delegated responsibility from the GPhC for the quality assurance of all Foundation Training sites in 2025/26.</w:t>
      </w:r>
    </w:p>
    <w:p w14:paraId="7DA063EB" w14:textId="77777777" w:rsidR="00B36F85" w:rsidRPr="00F54EB5" w:rsidRDefault="00B36F85" w:rsidP="00B36F85">
      <w:pPr>
        <w:pStyle w:val="ListParagraph"/>
        <w:numPr>
          <w:ilvl w:val="0"/>
          <w:numId w:val="5"/>
        </w:numPr>
        <w:spacing w:after="360"/>
      </w:pPr>
      <w:r>
        <w:t xml:space="preserve">For more information, please visit our </w:t>
      </w:r>
      <w:hyperlink r:id="rId12" w:history="1">
        <w:r w:rsidRPr="00B521B2">
          <w:rPr>
            <w:rStyle w:val="Hyperlink"/>
            <w:rFonts w:ascii="Arial" w:hAnsi="Arial"/>
          </w:rPr>
          <w:t>Initial Education and Training of Pharmacists – reform programme webpage</w:t>
        </w:r>
      </w:hyperlink>
      <w:r>
        <w:t>.</w:t>
      </w:r>
    </w:p>
    <w:p w14:paraId="2E1A8646" w14:textId="1B84CDF1" w:rsidR="00C057D8" w:rsidRDefault="00C057D8" w:rsidP="00537C4B">
      <w:pPr>
        <w:pStyle w:val="Heading3"/>
      </w:pPr>
      <w:r>
        <w:t xml:space="preserve">How can </w:t>
      </w:r>
      <w:r w:rsidR="009C24A1">
        <w:t>G</w:t>
      </w:r>
      <w:r>
        <w:t>eneral practice/PCN get involved?</w:t>
      </w:r>
    </w:p>
    <w:p w14:paraId="43ACAAD6" w14:textId="2EFE2E8B" w:rsidR="00281A64" w:rsidRPr="00413AC3" w:rsidRDefault="003D5B7C" w:rsidP="00333039">
      <w:pPr>
        <w:pStyle w:val="ListParagraph"/>
        <w:numPr>
          <w:ilvl w:val="0"/>
          <w:numId w:val="6"/>
        </w:numPr>
        <w:spacing w:after="0"/>
      </w:pPr>
      <w:r w:rsidRPr="00413AC3">
        <w:t>For the 2025/26 training year</w:t>
      </w:r>
      <w:r w:rsidR="00192D7A" w:rsidRPr="00413AC3">
        <w:t>, General practice/PCNs</w:t>
      </w:r>
      <w:r w:rsidR="00CF0BEC" w:rsidRPr="00413AC3">
        <w:t xml:space="preserve"> can</w:t>
      </w:r>
      <w:r w:rsidR="00281A64" w:rsidRPr="00413AC3">
        <w:t xml:space="preserve"> be:</w:t>
      </w:r>
    </w:p>
    <w:p w14:paraId="42A4788B" w14:textId="7484612E" w:rsidR="00281A64" w:rsidRPr="00413AC3" w:rsidRDefault="00281A64" w:rsidP="00EF7E38">
      <w:pPr>
        <w:pStyle w:val="ListParagraph"/>
        <w:numPr>
          <w:ilvl w:val="1"/>
          <w:numId w:val="6"/>
        </w:numPr>
        <w:spacing w:after="60"/>
      </w:pPr>
      <w:r w:rsidRPr="00413AC3">
        <w:t>The</w:t>
      </w:r>
      <w:r w:rsidR="00CF0BEC" w:rsidRPr="00413AC3">
        <w:t xml:space="preserve"> employer </w:t>
      </w:r>
      <w:r w:rsidRPr="00413AC3">
        <w:t>of a trainee pharmacist</w:t>
      </w:r>
    </w:p>
    <w:p w14:paraId="37747A72" w14:textId="6FDAFD89" w:rsidR="00630459" w:rsidRPr="00413AC3" w:rsidRDefault="00281A64" w:rsidP="00EF7E38">
      <w:pPr>
        <w:pStyle w:val="ListParagraph"/>
        <w:numPr>
          <w:ilvl w:val="1"/>
          <w:numId w:val="6"/>
        </w:numPr>
        <w:spacing w:after="60"/>
      </w:pPr>
      <w:r w:rsidRPr="00413AC3">
        <w:t>A</w:t>
      </w:r>
      <w:r w:rsidR="009B1F8D" w:rsidRPr="00413AC3">
        <w:t xml:space="preserve"> partner with a</w:t>
      </w:r>
      <w:r w:rsidRPr="00413AC3">
        <w:t xml:space="preserve">nother employer </w:t>
      </w:r>
      <w:r w:rsidR="009B1F8D" w:rsidRPr="00413AC3">
        <w:t>to offer a</w:t>
      </w:r>
      <w:r w:rsidR="00630459" w:rsidRPr="00413AC3">
        <w:t xml:space="preserve"> </w:t>
      </w:r>
      <w:r w:rsidR="0041618D" w:rsidRPr="00413AC3">
        <w:t xml:space="preserve">formal </w:t>
      </w:r>
      <w:r w:rsidR="00D12A4E" w:rsidRPr="00413AC3">
        <w:t>multi-sector</w:t>
      </w:r>
      <w:r w:rsidR="009B1F8D" w:rsidRPr="00413AC3">
        <w:t xml:space="preserve"> placement</w:t>
      </w:r>
      <w:r w:rsidR="00797811" w:rsidRPr="00413AC3">
        <w:t xml:space="preserve"> with a </w:t>
      </w:r>
      <w:r w:rsidR="009A6810" w:rsidRPr="00413AC3">
        <w:t>minimum 13-week rotation</w:t>
      </w:r>
    </w:p>
    <w:p w14:paraId="7858523E" w14:textId="122753DA" w:rsidR="00C057D8" w:rsidRPr="00413AC3" w:rsidRDefault="00630459" w:rsidP="00281A64">
      <w:pPr>
        <w:pStyle w:val="ListParagraph"/>
        <w:numPr>
          <w:ilvl w:val="1"/>
          <w:numId w:val="6"/>
        </w:numPr>
      </w:pPr>
      <w:r w:rsidRPr="00413AC3">
        <w:t>A partner with another employer to offer</w:t>
      </w:r>
      <w:r w:rsidR="0041618D" w:rsidRPr="00413AC3">
        <w:t xml:space="preserve"> an informal placement of less than 13 weeks</w:t>
      </w:r>
      <w:r w:rsidRPr="00413AC3">
        <w:t xml:space="preserve"> </w:t>
      </w:r>
      <w:r w:rsidR="005D3444" w:rsidRPr="00413AC3">
        <w:t xml:space="preserve">(e.g. </w:t>
      </w:r>
      <w:r w:rsidR="00712FA6" w:rsidRPr="00413AC3">
        <w:t>as access to a</w:t>
      </w:r>
      <w:r w:rsidRPr="00413AC3">
        <w:t xml:space="preserve"> prescribing en</w:t>
      </w:r>
      <w:r w:rsidR="004267F6" w:rsidRPr="00413AC3">
        <w:t>vironment</w:t>
      </w:r>
      <w:r w:rsidR="005D3444" w:rsidRPr="00413AC3">
        <w:t>)</w:t>
      </w:r>
    </w:p>
    <w:p w14:paraId="40BA442E" w14:textId="68B71A20" w:rsidR="000C1715" w:rsidRDefault="005D3444" w:rsidP="006016A1">
      <w:pPr>
        <w:pStyle w:val="ListParagraph"/>
        <w:numPr>
          <w:ilvl w:val="0"/>
          <w:numId w:val="6"/>
        </w:numPr>
      </w:pPr>
      <w:r w:rsidRPr="00413AC3">
        <w:t>The</w:t>
      </w:r>
      <w:r w:rsidR="00D037B4" w:rsidRPr="00413AC3">
        <w:t xml:space="preserve"> GPhC has confirmed that General practice </w:t>
      </w:r>
      <w:r w:rsidR="00413AC3" w:rsidRPr="00413AC3">
        <w:t>will be considered</w:t>
      </w:r>
      <w:r w:rsidR="00D037B4" w:rsidRPr="00413AC3">
        <w:t xml:space="preserve"> a ‘patient facing setting’</w:t>
      </w:r>
      <w:r w:rsidR="00413AC3" w:rsidRPr="00413AC3">
        <w:t xml:space="preserve"> for the 2025/26 training year.</w:t>
      </w:r>
      <w:r w:rsidR="00001655">
        <w:t xml:space="preserve"> </w:t>
      </w:r>
      <w:r w:rsidR="007D4F48">
        <w:t xml:space="preserve">Trainees will still need to have access to </w:t>
      </w:r>
      <w:r w:rsidR="00937B70">
        <w:t xml:space="preserve">a setting with a dispensary that is supervised by a GPhC registrant as part of their </w:t>
      </w:r>
      <w:r w:rsidR="00E36908">
        <w:t>Training Plan</w:t>
      </w:r>
    </w:p>
    <w:p w14:paraId="5E3F7C44" w14:textId="192B95C2" w:rsidR="00E36908" w:rsidRPr="00413AC3" w:rsidRDefault="00E36908" w:rsidP="006016A1">
      <w:pPr>
        <w:pStyle w:val="ListParagraph"/>
        <w:numPr>
          <w:ilvl w:val="0"/>
          <w:numId w:val="6"/>
        </w:numPr>
      </w:pPr>
      <w:r>
        <w:lastRenderedPageBreak/>
        <w:t xml:space="preserve">For more information, </w:t>
      </w:r>
      <w:r w:rsidR="00BF49DE">
        <w:t xml:space="preserve">please see our </w:t>
      </w:r>
      <w:hyperlink r:id="rId13" w:history="1">
        <w:r w:rsidR="00BF49DE" w:rsidRPr="00F8611A">
          <w:rPr>
            <w:rStyle w:val="Hyperlink"/>
            <w:rFonts w:ascii="Arial" w:hAnsi="Arial"/>
          </w:rPr>
          <w:t>Foundation Pharmacist Training Site Requirements for 2025/26 document</w:t>
        </w:r>
      </w:hyperlink>
    </w:p>
    <w:p w14:paraId="75DC81DC" w14:textId="77777777" w:rsidR="008B2C42" w:rsidRPr="00121A3A" w:rsidRDefault="008B2C42" w:rsidP="008B2C42">
      <w:pPr>
        <w:pStyle w:val="Heading3"/>
      </w:pPr>
      <w:r>
        <w:t>Why host a trainee?</w:t>
      </w:r>
    </w:p>
    <w:p w14:paraId="276ED174" w14:textId="76EFF924" w:rsidR="008B2C42" w:rsidRPr="00D923D3" w:rsidRDefault="008B2C42" w:rsidP="008B2C42">
      <w:pPr>
        <w:pStyle w:val="ListParagraph"/>
        <w:numPr>
          <w:ilvl w:val="0"/>
          <w:numId w:val="12"/>
        </w:numPr>
        <w:spacing w:after="120"/>
      </w:pPr>
      <w:r w:rsidRPr="00D923D3">
        <w:t xml:space="preserve">General </w:t>
      </w:r>
      <w:r w:rsidR="00001655">
        <w:t>p</w:t>
      </w:r>
      <w:r w:rsidRPr="00D923D3">
        <w:t>ractice is a rapidly developing sector of practice for pharmacy professionals with increasing numbers of practices and PCNs employing pharmacists in a patient facing role.</w:t>
      </w:r>
    </w:p>
    <w:p w14:paraId="616624C8" w14:textId="0D51B1ED" w:rsidR="008B2C42" w:rsidRDefault="008B2C42" w:rsidP="008B2C42">
      <w:pPr>
        <w:pStyle w:val="ListParagraph"/>
        <w:numPr>
          <w:ilvl w:val="0"/>
          <w:numId w:val="12"/>
        </w:numPr>
        <w:spacing w:after="120"/>
      </w:pPr>
      <w:r>
        <w:t xml:space="preserve">Employing a trainee pharmacist can help to provide general practice with a sustainable workforce pipeline. Trainees can support with day-to-day workload within the practice contributing towards multiple QOF indicators or the DES (see </w:t>
      </w:r>
      <w:hyperlink w:anchor="_Appendix_1:_Benefits" w:history="1">
        <w:r w:rsidR="00F80B30" w:rsidRPr="00F80B30">
          <w:rPr>
            <w:rStyle w:val="Hyperlink"/>
            <w:rFonts w:ascii="Arial" w:hAnsi="Arial"/>
          </w:rPr>
          <w:t>Appendix 1</w:t>
        </w:r>
      </w:hyperlink>
      <w:r>
        <w:t>).</w:t>
      </w:r>
    </w:p>
    <w:p w14:paraId="269DFE19" w14:textId="77777777" w:rsidR="008B2C42" w:rsidRDefault="008B2C42" w:rsidP="008B2C42">
      <w:pPr>
        <w:pStyle w:val="ListParagraph"/>
        <w:numPr>
          <w:ilvl w:val="0"/>
          <w:numId w:val="12"/>
        </w:numPr>
        <w:spacing w:after="120"/>
      </w:pPr>
      <w:r>
        <w:t>Hosting a trainee and watching their development can be a rewarding experience as well as providing a personal development opportunity to upskill supervisory skills.</w:t>
      </w:r>
    </w:p>
    <w:p w14:paraId="1629DF13" w14:textId="77777777" w:rsidR="008B2C42" w:rsidRDefault="008B2C42" w:rsidP="008B2C42">
      <w:pPr>
        <w:pStyle w:val="ListParagraph"/>
        <w:numPr>
          <w:ilvl w:val="0"/>
          <w:numId w:val="12"/>
        </w:numPr>
        <w:spacing w:after="120"/>
      </w:pPr>
      <w:r>
        <w:t>Working with other partners to provide training helps to build new or develop existing relationships with other healthcare providers in your local area.</w:t>
      </w:r>
    </w:p>
    <w:p w14:paraId="5F5F9525" w14:textId="77777777" w:rsidR="008B2C42" w:rsidRPr="00B8018A" w:rsidRDefault="008B2C42" w:rsidP="008B2C42">
      <w:pPr>
        <w:pStyle w:val="ListParagraph"/>
        <w:numPr>
          <w:ilvl w:val="0"/>
          <w:numId w:val="12"/>
        </w:numPr>
        <w:spacing w:after="360"/>
      </w:pPr>
      <w:r>
        <w:t>Allows you to support the development of the future workforce and showcase primary cares place in healthcare.</w:t>
      </w:r>
    </w:p>
    <w:p w14:paraId="0EC1BBBC" w14:textId="4826DFAE" w:rsidR="00C04E4D" w:rsidRDefault="00C04E4D" w:rsidP="00C04E4D">
      <w:pPr>
        <w:pStyle w:val="Heading3"/>
      </w:pPr>
      <w:r>
        <w:t>What does the funding look like?</w:t>
      </w:r>
    </w:p>
    <w:p w14:paraId="394BD12C" w14:textId="77777777" w:rsidR="00C04E4D" w:rsidRDefault="00C04E4D" w:rsidP="00C04E4D">
      <w:pPr>
        <w:pStyle w:val="ListParagraph"/>
        <w:numPr>
          <w:ilvl w:val="0"/>
          <w:numId w:val="9"/>
        </w:numPr>
        <w:spacing w:after="120"/>
      </w:pPr>
      <w:r>
        <w:t>For 2025/26 there is a harmonised funding package consistent across all sectors of practice and all regions of England.</w:t>
      </w:r>
    </w:p>
    <w:p w14:paraId="2CA44F77" w14:textId="0EDDA2A0" w:rsidR="00C04E4D" w:rsidRDefault="00677EC6" w:rsidP="00C04E4D">
      <w:pPr>
        <w:pStyle w:val="ListParagraph"/>
        <w:numPr>
          <w:ilvl w:val="0"/>
          <w:numId w:val="9"/>
        </w:numPr>
        <w:spacing w:after="120"/>
      </w:pPr>
      <w:r>
        <w:rPr>
          <w:b/>
          <w:bCs/>
        </w:rPr>
        <w:t>The</w:t>
      </w:r>
      <w:r w:rsidR="00C04E4D" w:rsidRPr="00136E69">
        <w:rPr>
          <w:b/>
          <w:bCs/>
        </w:rPr>
        <w:t xml:space="preserve"> employer will receive </w:t>
      </w:r>
      <w:r w:rsidR="00C04E4D">
        <w:rPr>
          <w:b/>
          <w:bCs/>
        </w:rPr>
        <w:t>funding</w:t>
      </w:r>
      <w:r w:rsidR="00C04E4D" w:rsidRPr="00136E69">
        <w:rPr>
          <w:b/>
          <w:bCs/>
        </w:rPr>
        <w:t xml:space="preserve"> of £26,500 per trainee.</w:t>
      </w:r>
      <w:r w:rsidR="00C04E4D">
        <w:t xml:space="preserve"> This is a contribution to all costs of hosting a trainee, including supervision, administration, and salary costs.</w:t>
      </w:r>
      <w:r w:rsidR="00FF4BC9">
        <w:t xml:space="preserve"> NHS England will not set the salary that needs to be paid to a trainee however minimum wage requirements </w:t>
      </w:r>
      <w:r w:rsidR="00165DED">
        <w:t xml:space="preserve">at the time of employment </w:t>
      </w:r>
      <w:r w:rsidR="00FF4BC9">
        <w:t>must be adhered to</w:t>
      </w:r>
      <w:r w:rsidR="002F4C7B">
        <w:t xml:space="preserve"> (</w:t>
      </w:r>
      <w:r w:rsidR="00416F72">
        <w:t>£22,308</w:t>
      </w:r>
      <w:r w:rsidR="00FC1C88">
        <w:t xml:space="preserve"> for a 37.5hr week from April </w:t>
      </w:r>
      <w:r w:rsidR="00395811">
        <w:t>2024)</w:t>
      </w:r>
    </w:p>
    <w:p w14:paraId="239F01EE" w14:textId="2C6D1E92" w:rsidR="008C5694" w:rsidRDefault="008C5694" w:rsidP="000B0C57">
      <w:pPr>
        <w:pStyle w:val="ListParagraph"/>
        <w:numPr>
          <w:ilvl w:val="0"/>
          <w:numId w:val="9"/>
        </w:numPr>
        <w:spacing w:after="120"/>
      </w:pPr>
      <w:r>
        <w:t>Funding that has previously been in place to support GP placement set up and delivery</w:t>
      </w:r>
      <w:r w:rsidR="00BE57EB">
        <w:t>, as part of the national HEEGP pilot will not continue for 2025/26, however if a trainee is taken on a rotational basis from another employer a placement fee can be agreed between organisations to host a trainee pharmacist to support supervision.</w:t>
      </w:r>
    </w:p>
    <w:p w14:paraId="368950D6" w14:textId="3CEB8FFD" w:rsidR="00C04E4D" w:rsidRDefault="00C04E4D" w:rsidP="0034711E">
      <w:pPr>
        <w:pStyle w:val="ListParagraph"/>
        <w:numPr>
          <w:ilvl w:val="0"/>
          <w:numId w:val="9"/>
        </w:numPr>
        <w:spacing w:after="120"/>
      </w:pPr>
      <w:r>
        <w:t xml:space="preserve">All trainees will have access to a fully funded training course provided via NHS England meaning </w:t>
      </w:r>
      <w:r w:rsidR="0034711E">
        <w:t>employers</w:t>
      </w:r>
      <w:r>
        <w:t xml:space="preserve"> will not need to source and pay for one externally.</w:t>
      </w:r>
    </w:p>
    <w:p w14:paraId="4CEEFBF5" w14:textId="77777777" w:rsidR="00C04E4D" w:rsidRDefault="00C04E4D" w:rsidP="00C04E4D">
      <w:pPr>
        <w:pStyle w:val="ListParagraph"/>
        <w:numPr>
          <w:ilvl w:val="0"/>
          <w:numId w:val="9"/>
        </w:numPr>
        <w:spacing w:after="360"/>
      </w:pPr>
      <w:r>
        <w:t xml:space="preserve">For more information, please visit our </w:t>
      </w:r>
      <w:hyperlink r:id="rId14" w:history="1">
        <w:r w:rsidRPr="00B521B2">
          <w:rPr>
            <w:rStyle w:val="Hyperlink"/>
            <w:rFonts w:ascii="Arial" w:hAnsi="Arial"/>
          </w:rPr>
          <w:t>Implementing the Foundation Pharmacist Training Year 2025/26 webpage</w:t>
        </w:r>
      </w:hyperlink>
      <w:r>
        <w:t>.</w:t>
      </w:r>
    </w:p>
    <w:p w14:paraId="1D0AFD5A" w14:textId="5F435EE1" w:rsidR="00F3724E" w:rsidRPr="00121A3A" w:rsidRDefault="00F3724E" w:rsidP="00F3724E">
      <w:pPr>
        <w:pStyle w:val="Heading3"/>
      </w:pPr>
      <w:r>
        <w:t>How are trainees allocated to training sites?</w:t>
      </w:r>
    </w:p>
    <w:p w14:paraId="49A62F9D" w14:textId="42419214" w:rsidR="00F3724E" w:rsidRDefault="00F3724E" w:rsidP="00F3724E">
      <w:pPr>
        <w:pStyle w:val="ListParagraph"/>
        <w:numPr>
          <w:ilvl w:val="0"/>
          <w:numId w:val="8"/>
        </w:numPr>
        <w:spacing w:after="120"/>
      </w:pPr>
      <w:r>
        <w:t>For the 2025/26 training year onwards, you cannot directly recruit/appoint a trainee. All training placements must be entered into the National Recruitment Scheme, (Oriel) and all trainees will be appointed via this process.</w:t>
      </w:r>
    </w:p>
    <w:p w14:paraId="077D67ED" w14:textId="7A586F89" w:rsidR="00F3724E" w:rsidRDefault="00F3724E" w:rsidP="00F3724E">
      <w:pPr>
        <w:pStyle w:val="ListParagraph"/>
        <w:numPr>
          <w:ilvl w:val="0"/>
          <w:numId w:val="8"/>
        </w:numPr>
        <w:spacing w:after="120"/>
      </w:pPr>
      <w:r w:rsidRPr="0011000F">
        <w:rPr>
          <w:b/>
          <w:bCs/>
        </w:rPr>
        <w:lastRenderedPageBreak/>
        <w:t xml:space="preserve">There will be no arrangements for the </w:t>
      </w:r>
      <w:r w:rsidR="00A21472">
        <w:rPr>
          <w:b/>
          <w:bCs/>
        </w:rPr>
        <w:t xml:space="preserve">recruitment/appointment of trainees, </w:t>
      </w:r>
      <w:r w:rsidRPr="0011000F">
        <w:rPr>
          <w:b/>
          <w:bCs/>
        </w:rPr>
        <w:t>approval of training sites or funding outside of this process.</w:t>
      </w:r>
    </w:p>
    <w:p w14:paraId="7108AEA2" w14:textId="1510A262" w:rsidR="00F3724E" w:rsidRDefault="00F3724E" w:rsidP="00F3724E">
      <w:pPr>
        <w:pStyle w:val="ListParagraph"/>
        <w:numPr>
          <w:ilvl w:val="0"/>
          <w:numId w:val="7"/>
        </w:numPr>
        <w:spacing w:after="120"/>
      </w:pPr>
      <w:r>
        <w:t xml:space="preserve">Placements must be entered into Oriel between January 2024 and </w:t>
      </w:r>
      <w:r w:rsidR="00BE57EB">
        <w:t>1</w:t>
      </w:r>
      <w:r w:rsidR="00BE57EB" w:rsidRPr="00BE57EB">
        <w:rPr>
          <w:vertAlign w:val="superscript"/>
        </w:rPr>
        <w:t>st</w:t>
      </w:r>
      <w:r w:rsidR="00BE57EB">
        <w:t xml:space="preserve"> </w:t>
      </w:r>
      <w:r>
        <w:t>March 2024.</w:t>
      </w:r>
    </w:p>
    <w:p w14:paraId="75207E40" w14:textId="77777777" w:rsidR="00F3724E" w:rsidRDefault="00F3724E" w:rsidP="00F3724E">
      <w:pPr>
        <w:pStyle w:val="ListParagraph"/>
        <w:numPr>
          <w:ilvl w:val="0"/>
          <w:numId w:val="7"/>
        </w:numPr>
        <w:spacing w:after="120"/>
      </w:pPr>
      <w:r>
        <w:t>Employers must submit programme information via an online registration form which includes information on the:</w:t>
      </w:r>
    </w:p>
    <w:tbl>
      <w:tblPr>
        <w:tblStyle w:val="PlainTable2"/>
        <w:tblW w:w="0" w:type="auto"/>
        <w:jc w:val="center"/>
        <w:tblLook w:val="0600" w:firstRow="0" w:lastRow="0" w:firstColumn="0" w:lastColumn="0" w:noHBand="1" w:noVBand="1"/>
      </w:tblPr>
      <w:tblGrid>
        <w:gridCol w:w="4029"/>
        <w:gridCol w:w="4241"/>
      </w:tblGrid>
      <w:tr w:rsidR="00F3724E" w14:paraId="5F1AE9F4" w14:textId="77777777" w:rsidTr="00EF7E38">
        <w:trPr>
          <w:trHeight w:val="162"/>
          <w:jc w:val="center"/>
        </w:trPr>
        <w:tc>
          <w:tcPr>
            <w:tcW w:w="4029" w:type="dxa"/>
          </w:tcPr>
          <w:p w14:paraId="7A9851C3" w14:textId="77777777" w:rsidR="00F3724E" w:rsidRDefault="00F3724E" w:rsidP="008D3DAE">
            <w:pPr>
              <w:spacing w:after="0"/>
            </w:pPr>
            <w:r>
              <w:t>Employer</w:t>
            </w:r>
          </w:p>
        </w:tc>
        <w:tc>
          <w:tcPr>
            <w:tcW w:w="4241" w:type="dxa"/>
          </w:tcPr>
          <w:p w14:paraId="40859110" w14:textId="77777777" w:rsidR="00F3724E" w:rsidRDefault="00F3724E" w:rsidP="008D3DAE">
            <w:pPr>
              <w:spacing w:after="0"/>
            </w:pPr>
            <w:r>
              <w:t>Training site</w:t>
            </w:r>
          </w:p>
        </w:tc>
      </w:tr>
      <w:tr w:rsidR="00F3724E" w14:paraId="25800B90" w14:textId="77777777" w:rsidTr="00EF7E38">
        <w:trPr>
          <w:trHeight w:val="327"/>
          <w:jc w:val="center"/>
        </w:trPr>
        <w:tc>
          <w:tcPr>
            <w:tcW w:w="4029" w:type="dxa"/>
          </w:tcPr>
          <w:p w14:paraId="268E18FF" w14:textId="77777777" w:rsidR="00F3724E" w:rsidRDefault="00F3724E" w:rsidP="008D3DAE">
            <w:pPr>
              <w:spacing w:after="0"/>
            </w:pPr>
            <w:r>
              <w:t>Salary and hours</w:t>
            </w:r>
          </w:p>
        </w:tc>
        <w:tc>
          <w:tcPr>
            <w:tcW w:w="4241" w:type="dxa"/>
          </w:tcPr>
          <w:p w14:paraId="3461C2EF" w14:textId="408A2718" w:rsidR="00F3724E" w:rsidRDefault="00F3724E" w:rsidP="008D3DAE">
            <w:pPr>
              <w:spacing w:after="0"/>
            </w:pPr>
            <w:r>
              <w:t xml:space="preserve">Rotational </w:t>
            </w:r>
            <w:r w:rsidRPr="00AC5BE6">
              <w:t>placements</w:t>
            </w:r>
            <w:r w:rsidR="00EF7E38" w:rsidRPr="00AC5BE6">
              <w:t xml:space="preserve"> (if any)</w:t>
            </w:r>
          </w:p>
        </w:tc>
      </w:tr>
    </w:tbl>
    <w:p w14:paraId="3C486AC1" w14:textId="2495484E" w:rsidR="00F3724E" w:rsidRDefault="00F3724E" w:rsidP="00F3724E">
      <w:pPr>
        <w:pStyle w:val="ListParagraph"/>
        <w:numPr>
          <w:ilvl w:val="0"/>
          <w:numId w:val="7"/>
        </w:numPr>
        <w:spacing w:before="120" w:after="120"/>
      </w:pPr>
      <w:proofErr w:type="gramStart"/>
      <w:r>
        <w:t>Students</w:t>
      </w:r>
      <w:proofErr w:type="gramEnd"/>
      <w:r>
        <w:t xml:space="preserve"> preference which training sites they would like to undertake their training in. Based on this list they are allocated to a site after undertaking assessments to demonstrate their suitability to be a Foundation Trainee Pharmacist.</w:t>
      </w:r>
    </w:p>
    <w:p w14:paraId="2EE83376" w14:textId="782879A5" w:rsidR="00F3724E" w:rsidRDefault="00F3724E" w:rsidP="00537C4B">
      <w:pPr>
        <w:pStyle w:val="ListParagraph"/>
        <w:numPr>
          <w:ilvl w:val="0"/>
          <w:numId w:val="7"/>
        </w:numPr>
        <w:spacing w:before="120" w:after="360"/>
      </w:pPr>
      <w:r>
        <w:t xml:space="preserve">For more information, please visit our </w:t>
      </w:r>
      <w:hyperlink r:id="rId15" w:history="1">
        <w:r w:rsidRPr="00C4198A">
          <w:rPr>
            <w:rStyle w:val="Hyperlink"/>
            <w:rFonts w:ascii="Arial" w:hAnsi="Arial"/>
          </w:rPr>
          <w:t>Trainee Pharmacist National Recruitment webpage</w:t>
        </w:r>
      </w:hyperlink>
      <w:r>
        <w:t>.</w:t>
      </w:r>
    </w:p>
    <w:p w14:paraId="7B090033" w14:textId="6409D3FA" w:rsidR="003B2686" w:rsidRPr="00121A3A" w:rsidRDefault="008255C4" w:rsidP="008255C4">
      <w:pPr>
        <w:pStyle w:val="Heading3"/>
      </w:pPr>
      <w:r>
        <w:t>What are the requirements?</w:t>
      </w:r>
    </w:p>
    <w:p w14:paraId="0779F567" w14:textId="607B1D25" w:rsidR="00D17B26" w:rsidRDefault="00D17B26" w:rsidP="00D17B26">
      <w:pPr>
        <w:pStyle w:val="ListParagraph"/>
        <w:numPr>
          <w:ilvl w:val="0"/>
          <w:numId w:val="7"/>
        </w:numPr>
        <w:spacing w:after="0"/>
      </w:pPr>
      <w:r>
        <w:t>To host a trainee, employers will need to ensure that the trainee has access to a:</w:t>
      </w:r>
    </w:p>
    <w:p w14:paraId="6CC83187" w14:textId="19361487" w:rsidR="00D17B26" w:rsidRDefault="00D17B26" w:rsidP="00D17B26">
      <w:pPr>
        <w:pStyle w:val="ListParagraph"/>
        <w:numPr>
          <w:ilvl w:val="1"/>
          <w:numId w:val="13"/>
        </w:numPr>
        <w:spacing w:after="120"/>
      </w:pPr>
      <w:r>
        <w:t>Designated Supervisor (previously called pre-reg tutor)</w:t>
      </w:r>
    </w:p>
    <w:p w14:paraId="57210253" w14:textId="77777777" w:rsidR="00D17B26" w:rsidRDefault="00D17B26" w:rsidP="00D17B26">
      <w:pPr>
        <w:pStyle w:val="ListParagraph"/>
        <w:numPr>
          <w:ilvl w:val="1"/>
          <w:numId w:val="13"/>
        </w:numPr>
        <w:spacing w:after="120"/>
      </w:pPr>
      <w:r>
        <w:t>Prescribing learning setting</w:t>
      </w:r>
    </w:p>
    <w:p w14:paraId="286314C7" w14:textId="77777777" w:rsidR="00D17B26" w:rsidRDefault="00D17B26" w:rsidP="00D17B26">
      <w:pPr>
        <w:pStyle w:val="ListParagraph"/>
        <w:numPr>
          <w:ilvl w:val="1"/>
          <w:numId w:val="13"/>
        </w:numPr>
        <w:spacing w:after="120"/>
      </w:pPr>
      <w:r>
        <w:t>Designated Prescribing Practitioner (DPP)</w:t>
      </w:r>
    </w:p>
    <w:p w14:paraId="7C20DBF9" w14:textId="2A81D06B" w:rsidR="00D17B26" w:rsidRDefault="00D17B26" w:rsidP="00D17B26">
      <w:pPr>
        <w:pStyle w:val="ListParagraph"/>
        <w:numPr>
          <w:ilvl w:val="0"/>
          <w:numId w:val="13"/>
        </w:numPr>
        <w:spacing w:after="120"/>
      </w:pPr>
      <w:r>
        <w:t xml:space="preserve">The DPP and prescribing learning setting do not have to be in the primary training </w:t>
      </w:r>
      <w:r w:rsidR="007F4B61">
        <w:t>site but</w:t>
      </w:r>
      <w:r>
        <w:t xml:space="preserve"> could be in another organisation that the trainee rotates into.</w:t>
      </w:r>
    </w:p>
    <w:p w14:paraId="148C7FA8" w14:textId="0B69A1D2" w:rsidR="006A0873" w:rsidRDefault="006A0873" w:rsidP="006A0873">
      <w:pPr>
        <w:pStyle w:val="ListParagraph"/>
        <w:numPr>
          <w:ilvl w:val="0"/>
          <w:numId w:val="13"/>
        </w:numPr>
        <w:spacing w:after="120"/>
      </w:pPr>
      <w:r>
        <w:t xml:space="preserve">When putting placements into Oriel, organisations </w:t>
      </w:r>
      <w:r w:rsidRPr="008A3E44">
        <w:rPr>
          <w:b/>
          <w:bCs/>
        </w:rPr>
        <w:t>will not</w:t>
      </w:r>
      <w:r>
        <w:rPr>
          <w:b/>
          <w:bCs/>
        </w:rPr>
        <w:t xml:space="preserve"> </w:t>
      </w:r>
      <w:r>
        <w:t>need to identify at this stage who the DPP is and where the prescribing environment is. You will not need to notify NHS England of this until mid-2025.</w:t>
      </w:r>
    </w:p>
    <w:p w14:paraId="13A3DCD1" w14:textId="77777777" w:rsidR="00D17B26" w:rsidRDefault="00D17B26" w:rsidP="00D17B26">
      <w:pPr>
        <w:pStyle w:val="ListParagraph"/>
        <w:numPr>
          <w:ilvl w:val="0"/>
          <w:numId w:val="13"/>
        </w:numPr>
        <w:spacing w:after="120"/>
      </w:pPr>
      <w:r>
        <w:t xml:space="preserve">All training sites must use the </w:t>
      </w:r>
      <w:r w:rsidRPr="008F66B4">
        <w:t>NHS England Assessment Strategy</w:t>
      </w:r>
      <w:r>
        <w:t>, E-portfolio and engage with the Quality Framework.</w:t>
      </w:r>
    </w:p>
    <w:bookmarkEnd w:id="0"/>
    <w:p w14:paraId="4340D3E9" w14:textId="185E31D8" w:rsidR="00EF7E38" w:rsidRDefault="00EF7E38" w:rsidP="00EF7E38">
      <w:pPr>
        <w:pStyle w:val="ListParagraph"/>
        <w:numPr>
          <w:ilvl w:val="0"/>
          <w:numId w:val="13"/>
        </w:numPr>
        <w:spacing w:after="240"/>
      </w:pPr>
      <w:r>
        <w:t>Sites will need to submit a training plan that delivers the GPhC Learning Outcomes and ensure they are approve</w:t>
      </w:r>
      <w:r w:rsidR="00FE1FFE">
        <w:t>d</w:t>
      </w:r>
      <w:r w:rsidR="002A45EE">
        <w:t xml:space="preserve"> as a</w:t>
      </w:r>
      <w:r>
        <w:t xml:space="preserve"> GPhC Foundation </w:t>
      </w:r>
      <w:r w:rsidR="00B41A51">
        <w:t xml:space="preserve">Pharmacy </w:t>
      </w:r>
      <w:r>
        <w:t>Training site by April 2025.</w:t>
      </w:r>
    </w:p>
    <w:p w14:paraId="7C797FF9" w14:textId="77777777" w:rsidR="00D00361" w:rsidRDefault="00D00361" w:rsidP="00D00361">
      <w:pPr>
        <w:pStyle w:val="Heading3"/>
      </w:pPr>
      <w:r>
        <w:t>Multi-sector rotations</w:t>
      </w:r>
    </w:p>
    <w:p w14:paraId="78155AF9" w14:textId="12813B5C" w:rsidR="004267F6" w:rsidRDefault="004267F6" w:rsidP="004267F6">
      <w:pPr>
        <w:pStyle w:val="ListParagraph"/>
        <w:numPr>
          <w:ilvl w:val="0"/>
          <w:numId w:val="11"/>
        </w:numPr>
        <w:spacing w:after="120"/>
      </w:pPr>
      <w:r>
        <w:t xml:space="preserve">A multi-sector rotation is defined as a </w:t>
      </w:r>
      <w:r w:rsidR="00E86CF6">
        <w:t>placement in another sector</w:t>
      </w:r>
      <w:r>
        <w:t xml:space="preserve"> of 13 weeks or more</w:t>
      </w:r>
      <w:r w:rsidR="003656AA">
        <w:t>.</w:t>
      </w:r>
    </w:p>
    <w:p w14:paraId="5874A77A" w14:textId="5F5918B2" w:rsidR="00B343FF" w:rsidRDefault="00B343FF" w:rsidP="004267F6">
      <w:pPr>
        <w:pStyle w:val="ListParagraph"/>
        <w:numPr>
          <w:ilvl w:val="0"/>
          <w:numId w:val="11"/>
        </w:numPr>
        <w:spacing w:after="120"/>
      </w:pPr>
      <w:r>
        <w:t>If a trainee undertakes a rotation of 13 weeks or more, then they must have a named designated supervisor in that site</w:t>
      </w:r>
      <w:r w:rsidR="00A805F7">
        <w:t xml:space="preserve"> as per GPhC requirements</w:t>
      </w:r>
      <w:r>
        <w:t>.</w:t>
      </w:r>
    </w:p>
    <w:p w14:paraId="5C2F7E26" w14:textId="1DB1E49D" w:rsidR="00D00361" w:rsidRPr="00333039" w:rsidRDefault="003656AA" w:rsidP="00D00361">
      <w:pPr>
        <w:pStyle w:val="ListParagraph"/>
        <w:numPr>
          <w:ilvl w:val="0"/>
          <w:numId w:val="11"/>
        </w:numPr>
        <w:spacing w:after="0"/>
      </w:pPr>
      <w:r>
        <w:t>Other</w:t>
      </w:r>
      <w:r w:rsidR="003037E4">
        <w:t xml:space="preserve"> employers</w:t>
      </w:r>
      <w:r>
        <w:t xml:space="preserve"> may wish to </w:t>
      </w:r>
      <w:r w:rsidR="00D00361" w:rsidRPr="00333039">
        <w:t>access to a prescribing environment and</w:t>
      </w:r>
      <w:r>
        <w:t>/or</w:t>
      </w:r>
      <w:r w:rsidR="00D00361" w:rsidRPr="00333039">
        <w:t xml:space="preserve"> DPP</w:t>
      </w:r>
      <w:r>
        <w:t xml:space="preserve"> for their trainee via general practice</w:t>
      </w:r>
      <w:r w:rsidR="00D00361" w:rsidRPr="00333039">
        <w:t xml:space="preserve"> </w:t>
      </w:r>
      <w:r>
        <w:t xml:space="preserve">and may be looking for </w:t>
      </w:r>
      <w:r w:rsidR="00D00361" w:rsidRPr="00333039">
        <w:t xml:space="preserve">a </w:t>
      </w:r>
      <w:r>
        <w:t xml:space="preserve">partnership </w:t>
      </w:r>
      <w:r w:rsidR="00D00361" w:rsidRPr="00333039">
        <w:t>to provide this.</w:t>
      </w:r>
    </w:p>
    <w:p w14:paraId="25075A0A" w14:textId="15D789EE" w:rsidR="00D00361" w:rsidRPr="00333039" w:rsidRDefault="00D00361" w:rsidP="00D00361">
      <w:pPr>
        <w:pStyle w:val="ListParagraph"/>
        <w:numPr>
          <w:ilvl w:val="1"/>
          <w:numId w:val="11"/>
        </w:numPr>
        <w:spacing w:after="120"/>
      </w:pPr>
      <w:r w:rsidRPr="00333039">
        <w:t xml:space="preserve">Some of the funding </w:t>
      </w:r>
      <w:r w:rsidR="003037E4">
        <w:t xml:space="preserve">the employer receives </w:t>
      </w:r>
      <w:r w:rsidRPr="00333039">
        <w:t>may be used as a placement fee, for example to secure a rotation with access to a prescribing environment and DPP.</w:t>
      </w:r>
    </w:p>
    <w:p w14:paraId="31C3CC2E" w14:textId="0A12F8B9" w:rsidR="00D00361" w:rsidRDefault="00D00361" w:rsidP="00D00361">
      <w:pPr>
        <w:pStyle w:val="ListParagraph"/>
        <w:numPr>
          <w:ilvl w:val="0"/>
          <w:numId w:val="11"/>
        </w:numPr>
        <w:spacing w:after="360"/>
      </w:pPr>
      <w:r>
        <w:lastRenderedPageBreak/>
        <w:t>From the 2026/27 foundation training year onwards it will become compulsory for trainees to undertake a 13-week rotation</w:t>
      </w:r>
      <w:r w:rsidR="00EF3177">
        <w:t xml:space="preserve"> into another sector of practice</w:t>
      </w:r>
      <w:r>
        <w:t>.</w:t>
      </w:r>
    </w:p>
    <w:p w14:paraId="3F7CD288" w14:textId="77777777" w:rsidR="00D00361" w:rsidRDefault="00D00361" w:rsidP="00D00361">
      <w:pPr>
        <w:pStyle w:val="Heading3"/>
      </w:pPr>
      <w:r>
        <w:t>Prescribing</w:t>
      </w:r>
    </w:p>
    <w:p w14:paraId="32A592BC" w14:textId="7D6692C6" w:rsidR="00D00361" w:rsidRDefault="00D00361" w:rsidP="00D00361">
      <w:pPr>
        <w:pStyle w:val="ListParagraph"/>
        <w:numPr>
          <w:ilvl w:val="0"/>
          <w:numId w:val="10"/>
        </w:numPr>
        <w:spacing w:after="120"/>
      </w:pPr>
      <w:r>
        <w:t>During the training year, trainees need to undertake 90 hours of learning focussed on developing and demonstrating the skills and capabilities of a prescribing practitioner. The DPP does not need to directly supervise all 90 hours and may delegate to other appropriately qualified members of the healthcare team.</w:t>
      </w:r>
    </w:p>
    <w:p w14:paraId="14FAFC48" w14:textId="40285660" w:rsidR="00D00361" w:rsidRDefault="00D00361" w:rsidP="00D00361">
      <w:pPr>
        <w:pStyle w:val="ListParagraph"/>
        <w:numPr>
          <w:ilvl w:val="0"/>
          <w:numId w:val="10"/>
        </w:numPr>
        <w:spacing w:after="120"/>
      </w:pPr>
      <w:r>
        <w:t xml:space="preserve">Trainees must have a </w:t>
      </w:r>
      <w:r w:rsidR="00D47DEE">
        <w:t>‘</w:t>
      </w:r>
      <w:r>
        <w:t xml:space="preserve">nominated </w:t>
      </w:r>
      <w:r w:rsidR="00D47DEE">
        <w:t>prescribing</w:t>
      </w:r>
      <w:r>
        <w:t xml:space="preserve"> area</w:t>
      </w:r>
      <w:r w:rsidR="00D47DEE">
        <w:t>’</w:t>
      </w:r>
      <w:r>
        <w:t xml:space="preserve"> in which the develop and demonstrate prescribing capabilities.</w:t>
      </w:r>
    </w:p>
    <w:p w14:paraId="7BAD22A8" w14:textId="77777777" w:rsidR="00D00361" w:rsidRDefault="00D00361" w:rsidP="00D00361">
      <w:pPr>
        <w:pStyle w:val="ListParagraph"/>
        <w:numPr>
          <w:ilvl w:val="0"/>
          <w:numId w:val="10"/>
        </w:numPr>
        <w:spacing w:after="120"/>
      </w:pPr>
      <w:r>
        <w:t>The DPP does not have to be based in the site that the trainee is employed in.</w:t>
      </w:r>
    </w:p>
    <w:p w14:paraId="76CB9E01" w14:textId="56203F55" w:rsidR="00D00361" w:rsidRDefault="00D00361" w:rsidP="00D831FB">
      <w:pPr>
        <w:pStyle w:val="ListParagraph"/>
        <w:numPr>
          <w:ilvl w:val="0"/>
          <w:numId w:val="10"/>
        </w:numPr>
        <w:spacing w:after="120"/>
      </w:pPr>
      <w:r>
        <w:t>A DPP does not need to have 3 years’ prescribing experience to undertake the role.</w:t>
      </w:r>
    </w:p>
    <w:p w14:paraId="0F3DBF52" w14:textId="2F57C520" w:rsidR="00081A29" w:rsidRDefault="00081A29" w:rsidP="00537C4B">
      <w:pPr>
        <w:pStyle w:val="ListParagraph"/>
        <w:numPr>
          <w:ilvl w:val="0"/>
          <w:numId w:val="10"/>
        </w:numPr>
        <w:spacing w:after="360"/>
      </w:pPr>
      <w:r>
        <w:t xml:space="preserve">For more information, please see our </w:t>
      </w:r>
      <w:hyperlink r:id="rId16" w:history="1">
        <w:r w:rsidRPr="00D831FB">
          <w:rPr>
            <w:rStyle w:val="Hyperlink"/>
            <w:rFonts w:ascii="Arial" w:hAnsi="Arial"/>
          </w:rPr>
          <w:t>Pre</w:t>
        </w:r>
        <w:r w:rsidR="00D831FB" w:rsidRPr="00D831FB">
          <w:rPr>
            <w:rStyle w:val="Hyperlink"/>
            <w:rFonts w:ascii="Arial" w:hAnsi="Arial"/>
          </w:rPr>
          <w:t>scribing Supervision and Assessment in the Foundation Trainee Pharmacist Programme from 2025/26</w:t>
        </w:r>
      </w:hyperlink>
    </w:p>
    <w:p w14:paraId="7CE1774D" w14:textId="77777777" w:rsidR="00BA4A0B" w:rsidRDefault="00BA4A0B" w:rsidP="00BA4A0B">
      <w:pPr>
        <w:pStyle w:val="Heading3"/>
      </w:pPr>
      <w:r>
        <w:t>What support can I get?</w:t>
      </w:r>
    </w:p>
    <w:p w14:paraId="70AABBF5" w14:textId="19A0D8DC" w:rsidR="00BA4A0B" w:rsidRDefault="00BA4A0B" w:rsidP="00BA4A0B">
      <w:r>
        <w:t xml:space="preserve">We understand that these are big changes. Within each </w:t>
      </w:r>
      <w:r w:rsidR="0099162A">
        <w:t xml:space="preserve">region </w:t>
      </w:r>
      <w:r>
        <w:t xml:space="preserve">there is a </w:t>
      </w:r>
      <w:r w:rsidR="00CC7ACB">
        <w:t xml:space="preserve">NHSE pharmacy foundation </w:t>
      </w:r>
      <w:r>
        <w:t xml:space="preserve">lead. They can support you to set up potential partnerships with others in your system and provide other support local to the area. You can contact your </w:t>
      </w:r>
      <w:r w:rsidR="002E5203">
        <w:t xml:space="preserve">regional pharmacy foundation </w:t>
      </w:r>
      <w:r>
        <w:t>lead using the details below.</w:t>
      </w:r>
    </w:p>
    <w:tbl>
      <w:tblPr>
        <w:tblStyle w:val="GridTable1Light-Accent6"/>
        <w:tblW w:w="0" w:type="auto"/>
        <w:tblLook w:val="0420" w:firstRow="1" w:lastRow="0" w:firstColumn="0" w:lastColumn="0" w:noHBand="0" w:noVBand="1"/>
      </w:tblPr>
      <w:tblGrid>
        <w:gridCol w:w="2405"/>
        <w:gridCol w:w="2097"/>
        <w:gridCol w:w="5352"/>
      </w:tblGrid>
      <w:tr w:rsidR="00BA4A0B" w14:paraId="043352F2" w14:textId="77777777" w:rsidTr="004F50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05" w:type="dxa"/>
          </w:tcPr>
          <w:p w14:paraId="60F990ED" w14:textId="3A352DE5" w:rsidR="00BA4A0B" w:rsidRDefault="006E72BA" w:rsidP="008D3DAE">
            <w:pPr>
              <w:spacing w:after="0"/>
            </w:pPr>
            <w:r>
              <w:t>Region</w:t>
            </w:r>
          </w:p>
        </w:tc>
        <w:tc>
          <w:tcPr>
            <w:tcW w:w="2097" w:type="dxa"/>
          </w:tcPr>
          <w:p w14:paraId="6139B5BA" w14:textId="77777777" w:rsidR="00BA4A0B" w:rsidRDefault="00BA4A0B" w:rsidP="008D3DAE">
            <w:pPr>
              <w:spacing w:after="0"/>
            </w:pPr>
            <w:r>
              <w:t>Name</w:t>
            </w:r>
          </w:p>
        </w:tc>
        <w:tc>
          <w:tcPr>
            <w:tcW w:w="5352" w:type="dxa"/>
          </w:tcPr>
          <w:p w14:paraId="7DFD9468" w14:textId="77777777" w:rsidR="00BA4A0B" w:rsidRDefault="00BA4A0B" w:rsidP="008D3DAE">
            <w:pPr>
              <w:spacing w:after="0"/>
            </w:pPr>
            <w:r>
              <w:t>Email</w:t>
            </w:r>
          </w:p>
        </w:tc>
      </w:tr>
      <w:tr w:rsidR="004F5000" w14:paraId="293264F3" w14:textId="77777777" w:rsidTr="004F5000">
        <w:tc>
          <w:tcPr>
            <w:tcW w:w="2405" w:type="dxa"/>
          </w:tcPr>
          <w:p w14:paraId="4001B673" w14:textId="6AB30604" w:rsidR="004F5000" w:rsidRPr="004F5000" w:rsidRDefault="004F5000" w:rsidP="004F5000">
            <w:pPr>
              <w:spacing w:after="0"/>
              <w:rPr>
                <w:sz w:val="22"/>
                <w:szCs w:val="22"/>
              </w:rPr>
            </w:pPr>
            <w:r w:rsidRPr="004F5000">
              <w:rPr>
                <w:rFonts w:cs="Arial"/>
                <w:color w:val="57646E" w:themeColor="accent2" w:themeShade="BF"/>
                <w:kern w:val="24"/>
                <w:sz w:val="22"/>
                <w:szCs w:val="22"/>
              </w:rPr>
              <w:t>North West</w:t>
            </w:r>
          </w:p>
        </w:tc>
        <w:tc>
          <w:tcPr>
            <w:tcW w:w="2097" w:type="dxa"/>
          </w:tcPr>
          <w:p w14:paraId="1CC13DE2" w14:textId="0F8FBA08" w:rsidR="004F5000" w:rsidRPr="004F5000" w:rsidRDefault="004F5000" w:rsidP="004F5000">
            <w:pPr>
              <w:spacing w:after="0"/>
            </w:pPr>
            <w:r w:rsidRPr="004F5000">
              <w:rPr>
                <w:rFonts w:cs="Arial"/>
                <w:color w:val="57646E" w:themeColor="accent2" w:themeShade="BF"/>
                <w:kern w:val="24"/>
              </w:rPr>
              <w:t>Stephen Doherty</w:t>
            </w:r>
          </w:p>
        </w:tc>
        <w:tc>
          <w:tcPr>
            <w:tcW w:w="5352" w:type="dxa"/>
          </w:tcPr>
          <w:p w14:paraId="3C6FD45A" w14:textId="62DE1D3E" w:rsidR="004F5000" w:rsidRPr="004F5000" w:rsidRDefault="00000000" w:rsidP="004F5000">
            <w:pPr>
              <w:spacing w:after="0"/>
              <w:rPr>
                <w:color w:val="0070C0"/>
              </w:rPr>
            </w:pPr>
            <w:hyperlink r:id="rId17" w:history="1">
              <w:r w:rsidR="004F5000" w:rsidRPr="004F5000">
                <w:rPr>
                  <w:rStyle w:val="Hyperlink"/>
                  <w:rFonts w:eastAsiaTheme="minorEastAsia" w:cstheme="minorBidi"/>
                  <w:color w:val="0070C0"/>
                  <w:kern w:val="24"/>
                </w:rPr>
                <w:t>england.WTEpharmacy.nw@nhs.net</w:t>
              </w:r>
            </w:hyperlink>
          </w:p>
        </w:tc>
      </w:tr>
      <w:tr w:rsidR="004F5000" w14:paraId="0BD247EA" w14:textId="77777777" w:rsidTr="004F5000">
        <w:tc>
          <w:tcPr>
            <w:tcW w:w="2405" w:type="dxa"/>
          </w:tcPr>
          <w:p w14:paraId="0D579978" w14:textId="70FAAAE1" w:rsidR="004F5000" w:rsidRPr="004F5000" w:rsidRDefault="004F5000" w:rsidP="004F5000">
            <w:pPr>
              <w:spacing w:after="0"/>
              <w:rPr>
                <w:sz w:val="22"/>
                <w:szCs w:val="22"/>
              </w:rPr>
            </w:pPr>
            <w:r w:rsidRPr="004F5000">
              <w:rPr>
                <w:rFonts w:cs="Arial"/>
                <w:color w:val="57646E" w:themeColor="accent2" w:themeShade="BF"/>
                <w:kern w:val="24"/>
                <w:sz w:val="22"/>
                <w:szCs w:val="22"/>
              </w:rPr>
              <w:t>North East Yorkshire and Humber</w:t>
            </w:r>
          </w:p>
        </w:tc>
        <w:tc>
          <w:tcPr>
            <w:tcW w:w="2097" w:type="dxa"/>
          </w:tcPr>
          <w:p w14:paraId="74A7463D" w14:textId="17E080B4" w:rsidR="004F5000" w:rsidRPr="004F5000" w:rsidRDefault="004F5000" w:rsidP="004F5000">
            <w:pPr>
              <w:spacing w:after="0"/>
            </w:pPr>
            <w:r w:rsidRPr="004F5000">
              <w:rPr>
                <w:rFonts w:cs="Arial"/>
                <w:color w:val="57646E" w:themeColor="accent2" w:themeShade="BF"/>
                <w:kern w:val="24"/>
              </w:rPr>
              <w:t>Alison Sampson</w:t>
            </w:r>
          </w:p>
        </w:tc>
        <w:tc>
          <w:tcPr>
            <w:tcW w:w="5352" w:type="dxa"/>
          </w:tcPr>
          <w:p w14:paraId="503E9476" w14:textId="7E14BB98" w:rsidR="004F5000" w:rsidRPr="004F5000" w:rsidRDefault="00000000" w:rsidP="004F5000">
            <w:pPr>
              <w:spacing w:after="0"/>
              <w:rPr>
                <w:color w:val="0070C0"/>
              </w:rPr>
            </w:pPr>
            <w:hyperlink r:id="rId18" w:history="1">
              <w:r w:rsidR="004F5000" w:rsidRPr="004F5000">
                <w:rPr>
                  <w:rStyle w:val="Hyperlink"/>
                  <w:rFonts w:eastAsiaTheme="minorEastAsia" w:cstheme="minorBidi"/>
                  <w:color w:val="0070C0"/>
                  <w:kern w:val="24"/>
                </w:rPr>
                <w:t>england.WTEpharmacy.ney@nhs.net</w:t>
              </w:r>
            </w:hyperlink>
          </w:p>
        </w:tc>
      </w:tr>
      <w:tr w:rsidR="004F5000" w14:paraId="24CBE9DB" w14:textId="77777777" w:rsidTr="004F5000">
        <w:tc>
          <w:tcPr>
            <w:tcW w:w="2405" w:type="dxa"/>
          </w:tcPr>
          <w:p w14:paraId="1D1D95B4" w14:textId="5B7A7B5D" w:rsidR="004F5000" w:rsidRPr="004F5000" w:rsidRDefault="004F5000" w:rsidP="004F5000">
            <w:pPr>
              <w:spacing w:after="0"/>
              <w:rPr>
                <w:sz w:val="22"/>
                <w:szCs w:val="22"/>
              </w:rPr>
            </w:pPr>
            <w:r w:rsidRPr="004F5000">
              <w:rPr>
                <w:rFonts w:cs="Arial"/>
                <w:color w:val="57646E" w:themeColor="accent2" w:themeShade="BF"/>
                <w:kern w:val="24"/>
                <w:sz w:val="22"/>
                <w:szCs w:val="22"/>
              </w:rPr>
              <w:t>Midlands</w:t>
            </w:r>
          </w:p>
        </w:tc>
        <w:tc>
          <w:tcPr>
            <w:tcW w:w="2097" w:type="dxa"/>
          </w:tcPr>
          <w:p w14:paraId="1304EEFD" w14:textId="1AB62AEC" w:rsidR="004F5000" w:rsidRPr="004F5000" w:rsidRDefault="004F5000" w:rsidP="004F5000">
            <w:pPr>
              <w:spacing w:after="0"/>
            </w:pPr>
            <w:r w:rsidRPr="004F5000">
              <w:rPr>
                <w:rFonts w:cs="Arial"/>
                <w:color w:val="57646E" w:themeColor="accent2" w:themeShade="BF"/>
                <w:kern w:val="24"/>
              </w:rPr>
              <w:t>Sejal Gohil</w:t>
            </w:r>
          </w:p>
        </w:tc>
        <w:tc>
          <w:tcPr>
            <w:tcW w:w="5352" w:type="dxa"/>
          </w:tcPr>
          <w:p w14:paraId="7C6DC1E2" w14:textId="77777777" w:rsidR="004F5000" w:rsidRPr="004F5000" w:rsidRDefault="00000000" w:rsidP="004F50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70C0"/>
              </w:rPr>
            </w:pPr>
            <w:hyperlink r:id="rId19" w:history="1">
              <w:r w:rsidR="004F5000" w:rsidRPr="004F5000">
                <w:rPr>
                  <w:rStyle w:val="Hyperlink"/>
                  <w:rFonts w:cs="Arial"/>
                  <w:color w:val="0070C0"/>
                  <w:kern w:val="24"/>
                </w:rPr>
                <w:t>england.foundationpharmacy.midlands@nhs.net</w:t>
              </w:r>
            </w:hyperlink>
            <w:r w:rsidR="004F5000" w:rsidRPr="004F5000">
              <w:rPr>
                <w:rFonts w:ascii="Arial" w:hAnsi="Arial" w:cs="Arial"/>
                <w:color w:val="0070C0"/>
                <w:kern w:val="24"/>
              </w:rPr>
              <w:t xml:space="preserve"> </w:t>
            </w:r>
          </w:p>
          <w:p w14:paraId="3F511629" w14:textId="19B3EB1F" w:rsidR="004F5000" w:rsidRPr="004F5000" w:rsidRDefault="00000000" w:rsidP="004F5000">
            <w:pPr>
              <w:spacing w:after="0"/>
              <w:rPr>
                <w:color w:val="0070C0"/>
              </w:rPr>
            </w:pPr>
            <w:hyperlink r:id="rId20" w:history="1">
              <w:r w:rsidR="004F5000" w:rsidRPr="004F5000">
                <w:rPr>
                  <w:rStyle w:val="Hyperlink"/>
                  <w:rFonts w:cs="Arial"/>
                  <w:color w:val="0070C0"/>
                  <w:kern w:val="24"/>
                </w:rPr>
                <w:t>england.WTEpharmacy.mids@nhs.net</w:t>
              </w:r>
            </w:hyperlink>
          </w:p>
        </w:tc>
      </w:tr>
      <w:tr w:rsidR="004F5000" w14:paraId="4CB94732" w14:textId="77777777" w:rsidTr="004F5000">
        <w:tc>
          <w:tcPr>
            <w:tcW w:w="2405" w:type="dxa"/>
          </w:tcPr>
          <w:p w14:paraId="3DD72A8F" w14:textId="04DB81EB" w:rsidR="004F5000" w:rsidRPr="004F5000" w:rsidRDefault="004F5000" w:rsidP="004F5000">
            <w:pPr>
              <w:spacing w:after="0"/>
              <w:rPr>
                <w:sz w:val="22"/>
                <w:szCs w:val="22"/>
              </w:rPr>
            </w:pPr>
            <w:r w:rsidRPr="004F5000">
              <w:rPr>
                <w:rFonts w:cs="Arial"/>
                <w:color w:val="57646E" w:themeColor="accent2" w:themeShade="BF"/>
                <w:kern w:val="24"/>
                <w:sz w:val="22"/>
                <w:szCs w:val="22"/>
              </w:rPr>
              <w:t>East of England</w:t>
            </w:r>
          </w:p>
        </w:tc>
        <w:tc>
          <w:tcPr>
            <w:tcW w:w="2097" w:type="dxa"/>
          </w:tcPr>
          <w:p w14:paraId="02888C0A" w14:textId="599955AE" w:rsidR="004F5000" w:rsidRPr="004F5000" w:rsidRDefault="004F5000" w:rsidP="004F5000">
            <w:pPr>
              <w:spacing w:after="0"/>
            </w:pPr>
            <w:r w:rsidRPr="004F5000">
              <w:rPr>
                <w:rFonts w:cs="Arial"/>
                <w:color w:val="57646E" w:themeColor="accent2" w:themeShade="BF"/>
                <w:kern w:val="24"/>
              </w:rPr>
              <w:t>Nkiruka Umaru</w:t>
            </w:r>
          </w:p>
        </w:tc>
        <w:tc>
          <w:tcPr>
            <w:tcW w:w="5352" w:type="dxa"/>
          </w:tcPr>
          <w:p w14:paraId="4B71182D" w14:textId="264FCD05" w:rsidR="004F5000" w:rsidRPr="004F5000" w:rsidRDefault="00000000" w:rsidP="004F5000">
            <w:pPr>
              <w:spacing w:after="0"/>
              <w:rPr>
                <w:color w:val="0070C0"/>
              </w:rPr>
            </w:pPr>
            <w:hyperlink r:id="rId21" w:history="1">
              <w:r w:rsidR="004F5000" w:rsidRPr="004F5000">
                <w:rPr>
                  <w:rStyle w:val="Hyperlink"/>
                  <w:rFonts w:eastAsiaTheme="minorEastAsia" w:cstheme="minorBidi"/>
                  <w:color w:val="0070C0"/>
                  <w:kern w:val="24"/>
                </w:rPr>
                <w:t>england.WTEpharmacy.eoe@nhs.net</w:t>
              </w:r>
            </w:hyperlink>
          </w:p>
        </w:tc>
      </w:tr>
      <w:tr w:rsidR="004F5000" w14:paraId="4A014FEE" w14:textId="77777777" w:rsidTr="004F5000">
        <w:tc>
          <w:tcPr>
            <w:tcW w:w="2405" w:type="dxa"/>
          </w:tcPr>
          <w:p w14:paraId="7AED39A1" w14:textId="7413D3C2" w:rsidR="004F5000" w:rsidRPr="004F5000" w:rsidRDefault="004F5000" w:rsidP="004F5000">
            <w:pPr>
              <w:spacing w:after="0"/>
              <w:rPr>
                <w:sz w:val="22"/>
                <w:szCs w:val="22"/>
              </w:rPr>
            </w:pPr>
            <w:r w:rsidRPr="004F5000">
              <w:rPr>
                <w:rFonts w:cs="Arial"/>
                <w:color w:val="57646E" w:themeColor="accent2" w:themeShade="BF"/>
                <w:kern w:val="24"/>
                <w:sz w:val="22"/>
                <w:szCs w:val="22"/>
              </w:rPr>
              <w:t>South West</w:t>
            </w:r>
          </w:p>
        </w:tc>
        <w:tc>
          <w:tcPr>
            <w:tcW w:w="2097" w:type="dxa"/>
          </w:tcPr>
          <w:p w14:paraId="79C8C7FA" w14:textId="6A78EC05" w:rsidR="004F5000" w:rsidRPr="004F5000" w:rsidRDefault="004F5000" w:rsidP="004F5000">
            <w:pPr>
              <w:spacing w:after="0"/>
            </w:pPr>
            <w:r w:rsidRPr="004F5000">
              <w:rPr>
                <w:rFonts w:cs="Arial"/>
                <w:color w:val="57646E" w:themeColor="accent2" w:themeShade="BF"/>
                <w:kern w:val="24"/>
              </w:rPr>
              <w:t>Sarah Crawshaw</w:t>
            </w:r>
          </w:p>
        </w:tc>
        <w:tc>
          <w:tcPr>
            <w:tcW w:w="5352" w:type="dxa"/>
          </w:tcPr>
          <w:p w14:paraId="5E78FA9A" w14:textId="77777777" w:rsidR="004F5000" w:rsidRPr="004F5000" w:rsidRDefault="00000000" w:rsidP="004F50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70C0"/>
              </w:rPr>
            </w:pPr>
            <w:hyperlink r:id="rId22" w:history="1">
              <w:r w:rsidR="004F5000" w:rsidRPr="004F5000">
                <w:rPr>
                  <w:rStyle w:val="Hyperlink"/>
                  <w:rFonts w:eastAsiaTheme="minorEastAsia" w:cstheme="minorBidi"/>
                  <w:color w:val="0070C0"/>
                  <w:kern w:val="24"/>
                </w:rPr>
                <w:t>sarah.crawshaw1@nhs.net</w:t>
              </w:r>
            </w:hyperlink>
          </w:p>
          <w:p w14:paraId="26ACB0A4" w14:textId="6232D237" w:rsidR="004F5000" w:rsidRPr="004F5000" w:rsidRDefault="00000000" w:rsidP="004F5000">
            <w:pPr>
              <w:spacing w:after="0"/>
              <w:rPr>
                <w:color w:val="0070C0"/>
              </w:rPr>
            </w:pPr>
            <w:hyperlink r:id="rId23" w:history="1">
              <w:r w:rsidR="004F5000" w:rsidRPr="004F5000">
                <w:rPr>
                  <w:rStyle w:val="Hyperlink"/>
                  <w:rFonts w:eastAsiaTheme="minorEastAsia" w:cstheme="minorBidi"/>
                  <w:color w:val="0070C0"/>
                  <w:kern w:val="24"/>
                </w:rPr>
                <w:t>england.WTEpharmacy.sw@nhs.net</w:t>
              </w:r>
            </w:hyperlink>
          </w:p>
        </w:tc>
      </w:tr>
      <w:tr w:rsidR="004F5000" w14:paraId="59D031A2" w14:textId="77777777" w:rsidTr="004F5000">
        <w:tc>
          <w:tcPr>
            <w:tcW w:w="2405" w:type="dxa"/>
          </w:tcPr>
          <w:p w14:paraId="2F643AD3" w14:textId="37AFACF1" w:rsidR="004F5000" w:rsidRPr="004F5000" w:rsidRDefault="004F5000" w:rsidP="004F5000">
            <w:pPr>
              <w:spacing w:after="0"/>
              <w:rPr>
                <w:sz w:val="22"/>
                <w:szCs w:val="22"/>
              </w:rPr>
            </w:pPr>
            <w:r w:rsidRPr="004F5000">
              <w:rPr>
                <w:rFonts w:cs="Arial"/>
                <w:color w:val="57646E" w:themeColor="accent2" w:themeShade="BF"/>
                <w:kern w:val="24"/>
                <w:sz w:val="22"/>
                <w:szCs w:val="22"/>
              </w:rPr>
              <w:t>South East</w:t>
            </w:r>
          </w:p>
        </w:tc>
        <w:tc>
          <w:tcPr>
            <w:tcW w:w="2097" w:type="dxa"/>
          </w:tcPr>
          <w:p w14:paraId="33317091" w14:textId="3C0366AA" w:rsidR="004F5000" w:rsidRPr="004F5000" w:rsidRDefault="004F5000" w:rsidP="004F5000">
            <w:pPr>
              <w:spacing w:after="0"/>
            </w:pPr>
            <w:r w:rsidRPr="004F5000">
              <w:rPr>
                <w:rFonts w:cs="Arial"/>
                <w:color w:val="57646E" w:themeColor="accent2" w:themeShade="BF"/>
                <w:kern w:val="24"/>
              </w:rPr>
              <w:t>Xenia Bray</w:t>
            </w:r>
          </w:p>
        </w:tc>
        <w:tc>
          <w:tcPr>
            <w:tcW w:w="5352" w:type="dxa"/>
          </w:tcPr>
          <w:p w14:paraId="52B773E0" w14:textId="77777777" w:rsidR="004F5000" w:rsidRPr="004F5000" w:rsidRDefault="00000000" w:rsidP="004F50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70C0"/>
              </w:rPr>
            </w:pPr>
            <w:hyperlink r:id="rId24" w:history="1">
              <w:r w:rsidR="004F5000" w:rsidRPr="004F5000">
                <w:rPr>
                  <w:rStyle w:val="Hyperlink"/>
                  <w:rFonts w:eastAsiaTheme="minorEastAsia" w:cstheme="minorBidi"/>
                  <w:color w:val="0070C0"/>
                  <w:kern w:val="24"/>
                  <w:lang w:val="de-DE"/>
                </w:rPr>
                <w:t>x.bray@nhs.net</w:t>
              </w:r>
            </w:hyperlink>
          </w:p>
          <w:p w14:paraId="0AB84232" w14:textId="62E547CB" w:rsidR="004F5000" w:rsidRPr="004F5000" w:rsidRDefault="00000000" w:rsidP="004F5000">
            <w:pPr>
              <w:spacing w:after="0"/>
              <w:rPr>
                <w:color w:val="0070C0"/>
              </w:rPr>
            </w:pPr>
            <w:hyperlink r:id="rId25" w:history="1">
              <w:r w:rsidR="004F5000" w:rsidRPr="004F5000">
                <w:rPr>
                  <w:rStyle w:val="Hyperlink"/>
                  <w:rFonts w:eastAsiaTheme="minorEastAsia" w:cstheme="minorBidi"/>
                  <w:color w:val="0070C0"/>
                  <w:kern w:val="24"/>
                </w:rPr>
                <w:t>england.WTEpharmacy.se@nhs.net</w:t>
              </w:r>
            </w:hyperlink>
          </w:p>
        </w:tc>
      </w:tr>
      <w:tr w:rsidR="004F5000" w14:paraId="6D9A391B" w14:textId="77777777" w:rsidTr="004F5000">
        <w:tc>
          <w:tcPr>
            <w:tcW w:w="2405" w:type="dxa"/>
          </w:tcPr>
          <w:p w14:paraId="230CF9E8" w14:textId="698A6FF1" w:rsidR="004F5000" w:rsidRPr="004F5000" w:rsidRDefault="004F5000" w:rsidP="004F5000">
            <w:pPr>
              <w:spacing w:after="0"/>
              <w:rPr>
                <w:sz w:val="22"/>
                <w:szCs w:val="22"/>
              </w:rPr>
            </w:pPr>
            <w:r w:rsidRPr="004F5000">
              <w:rPr>
                <w:rFonts w:cs="Arial"/>
                <w:color w:val="57646E" w:themeColor="accent2" w:themeShade="BF"/>
                <w:kern w:val="24"/>
                <w:sz w:val="22"/>
                <w:szCs w:val="22"/>
              </w:rPr>
              <w:t>London</w:t>
            </w:r>
          </w:p>
        </w:tc>
        <w:tc>
          <w:tcPr>
            <w:tcW w:w="2097" w:type="dxa"/>
          </w:tcPr>
          <w:p w14:paraId="43DBFBE5" w14:textId="69866258" w:rsidR="004F5000" w:rsidRPr="004F5000" w:rsidRDefault="004F5000" w:rsidP="004F5000">
            <w:pPr>
              <w:spacing w:after="0"/>
            </w:pPr>
            <w:r w:rsidRPr="004F5000">
              <w:rPr>
                <w:rFonts w:cs="Arial"/>
                <w:color w:val="57646E" w:themeColor="accent2" w:themeShade="BF"/>
                <w:kern w:val="24"/>
              </w:rPr>
              <w:t>Rachel Stretch</w:t>
            </w:r>
          </w:p>
        </w:tc>
        <w:tc>
          <w:tcPr>
            <w:tcW w:w="5352" w:type="dxa"/>
          </w:tcPr>
          <w:p w14:paraId="695B4606" w14:textId="11001469" w:rsidR="004F5000" w:rsidRPr="004F5000" w:rsidRDefault="00000000" w:rsidP="004F5000">
            <w:pPr>
              <w:spacing w:after="0"/>
              <w:rPr>
                <w:color w:val="0070C0"/>
              </w:rPr>
            </w:pPr>
            <w:hyperlink r:id="rId26" w:history="1">
              <w:r w:rsidR="004F5000" w:rsidRPr="004F5000">
                <w:rPr>
                  <w:rStyle w:val="Hyperlink"/>
                  <w:rFonts w:eastAsiaTheme="minorEastAsia" w:cstheme="minorBidi"/>
                  <w:color w:val="0070C0"/>
                  <w:kern w:val="24"/>
                </w:rPr>
                <w:t>england.WTEpharmacy.london@nhs.net</w:t>
              </w:r>
            </w:hyperlink>
          </w:p>
        </w:tc>
      </w:tr>
    </w:tbl>
    <w:p w14:paraId="088E5120" w14:textId="77777777" w:rsidR="00F80B30" w:rsidRDefault="00F80B30">
      <w:pPr>
        <w:spacing w:after="0" w:line="240" w:lineRule="auto"/>
        <w:textboxTightWrap w:val="none"/>
      </w:pPr>
      <w:r>
        <w:br w:type="page"/>
      </w:r>
    </w:p>
    <w:p w14:paraId="18F1B28D" w14:textId="5BCF8723" w:rsidR="00610BBB" w:rsidRDefault="00610BBB" w:rsidP="008B2C42">
      <w:pPr>
        <w:pStyle w:val="Heading3"/>
      </w:pPr>
      <w:bookmarkStart w:id="1" w:name="_Appendix_1:_Benefits"/>
      <w:bookmarkStart w:id="2" w:name="app1"/>
      <w:bookmarkEnd w:id="1"/>
      <w:r>
        <w:lastRenderedPageBreak/>
        <w:t xml:space="preserve">Appendix 1: </w:t>
      </w:r>
      <w:r w:rsidR="00F80B30">
        <w:t>How could a trainee support my practice?</w:t>
      </w:r>
    </w:p>
    <w:bookmarkEnd w:id="2"/>
    <w:p w14:paraId="0B5B8A04" w14:textId="77777777" w:rsidR="00610BBB" w:rsidRDefault="00610BBB" w:rsidP="00610BBB">
      <w:r>
        <w:t>The types of activities that trainee pharmacists could support with are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10BBB" w14:paraId="2410024F" w14:textId="77777777" w:rsidTr="00E60D54">
        <w:tc>
          <w:tcPr>
            <w:tcW w:w="4927" w:type="dxa"/>
          </w:tcPr>
          <w:p w14:paraId="51CA772C" w14:textId="77777777" w:rsidR="00610BBB" w:rsidRDefault="00610BBB" w:rsidP="00E60D54">
            <w:pPr>
              <w:pStyle w:val="ListParagraph"/>
              <w:numPr>
                <w:ilvl w:val="0"/>
                <w:numId w:val="17"/>
              </w:numPr>
              <w:spacing w:after="0"/>
            </w:pPr>
            <w:r w:rsidRPr="00160822">
              <w:t>Ef</w:t>
            </w:r>
            <w:r>
              <w:t xml:space="preserve">fective </w:t>
            </w:r>
            <w:r w:rsidRPr="00160822">
              <w:t>medicines reconciliation at transfer</w:t>
            </w:r>
            <w:r>
              <w:t>s</w:t>
            </w:r>
            <w:r w:rsidRPr="00160822">
              <w:t xml:space="preserve"> of care</w:t>
            </w:r>
            <w:r>
              <w:t xml:space="preserve"> including investigating</w:t>
            </w:r>
            <w:r w:rsidRPr="00160822">
              <w:t xml:space="preserve"> queries, errors and </w:t>
            </w:r>
            <w:proofErr w:type="gramStart"/>
            <w:r w:rsidRPr="00160822">
              <w:t>omissions</w:t>
            </w:r>
            <w:proofErr w:type="gramEnd"/>
          </w:p>
          <w:p w14:paraId="5F4AA3E8" w14:textId="77777777" w:rsidR="00610BBB" w:rsidRDefault="00610BBB" w:rsidP="00E60D54">
            <w:pPr>
              <w:pStyle w:val="ListParagraph"/>
              <w:numPr>
                <w:ilvl w:val="0"/>
                <w:numId w:val="17"/>
              </w:numPr>
              <w:spacing w:after="0"/>
            </w:pPr>
            <w:r>
              <w:t xml:space="preserve">Interpreting medical history, physical, </w:t>
            </w:r>
            <w:proofErr w:type="gramStart"/>
            <w:r>
              <w:t>biochemical</w:t>
            </w:r>
            <w:proofErr w:type="gramEnd"/>
            <w:r>
              <w:t xml:space="preserve"> and other clinical assessments</w:t>
            </w:r>
          </w:p>
          <w:p w14:paraId="4D7EDBB7" w14:textId="77777777" w:rsidR="00610BBB" w:rsidRPr="00160822" w:rsidRDefault="00610BBB" w:rsidP="00E60D54">
            <w:pPr>
              <w:pStyle w:val="ListParagraph"/>
              <w:numPr>
                <w:ilvl w:val="0"/>
                <w:numId w:val="17"/>
              </w:numPr>
              <w:spacing w:after="0"/>
            </w:pPr>
            <w:r w:rsidRPr="00160822">
              <w:t>Dealing with medicines-related queries from patients and colleagues</w:t>
            </w:r>
          </w:p>
          <w:p w14:paraId="16BFCC8E" w14:textId="77777777" w:rsidR="00610BBB" w:rsidRDefault="00610BBB" w:rsidP="00E60D54">
            <w:pPr>
              <w:pStyle w:val="ListParagraph"/>
              <w:numPr>
                <w:ilvl w:val="0"/>
                <w:numId w:val="17"/>
              </w:numPr>
              <w:spacing w:after="0"/>
            </w:pPr>
            <w:r w:rsidRPr="00160822">
              <w:t>Facilitating education and training for staff and patients on medicines-related topics</w:t>
            </w:r>
          </w:p>
          <w:p w14:paraId="57172B97" w14:textId="77777777" w:rsidR="00610BBB" w:rsidRDefault="00610BBB" w:rsidP="00E60D54">
            <w:pPr>
              <w:pStyle w:val="ListParagraph"/>
              <w:numPr>
                <w:ilvl w:val="0"/>
                <w:numId w:val="17"/>
              </w:numPr>
              <w:spacing w:after="0"/>
            </w:pPr>
            <w:r>
              <w:t>Inputting into repeat prescription processes</w:t>
            </w:r>
          </w:p>
          <w:p w14:paraId="2EF02F0D" w14:textId="77777777" w:rsidR="00610BBB" w:rsidRDefault="00610BBB" w:rsidP="00E60D54">
            <w:pPr>
              <w:pStyle w:val="ListParagraph"/>
              <w:numPr>
                <w:ilvl w:val="0"/>
                <w:numId w:val="17"/>
              </w:numPr>
              <w:spacing w:after="0"/>
            </w:pPr>
            <w:r>
              <w:t>Actioning and responding to MHRA and other safety alerts</w:t>
            </w:r>
          </w:p>
          <w:p w14:paraId="4F49CE7A" w14:textId="77777777" w:rsidR="00610BBB" w:rsidRPr="00160822" w:rsidRDefault="00610BBB" w:rsidP="00E60D54">
            <w:pPr>
              <w:pStyle w:val="ListParagraph"/>
              <w:numPr>
                <w:ilvl w:val="0"/>
                <w:numId w:val="17"/>
              </w:numPr>
              <w:spacing w:after="0"/>
            </w:pPr>
            <w:r>
              <w:t>Undertaking physical assessments with appropriate supervision</w:t>
            </w:r>
          </w:p>
          <w:p w14:paraId="5D830678" w14:textId="77777777" w:rsidR="00610BBB" w:rsidRPr="00160822" w:rsidRDefault="00610BBB" w:rsidP="00E60D54">
            <w:pPr>
              <w:pStyle w:val="ListParagraph"/>
              <w:numPr>
                <w:ilvl w:val="0"/>
                <w:numId w:val="17"/>
              </w:numPr>
              <w:spacing w:after="0"/>
            </w:pPr>
            <w:r>
              <w:t>D</w:t>
            </w:r>
            <w:r w:rsidRPr="00160822">
              <w:t>evelop</w:t>
            </w:r>
            <w:r>
              <w:t>ing p</w:t>
            </w:r>
            <w:r w:rsidRPr="00160822">
              <w:t>olicies and effective processes for medicines governance, including controlled drugs and repeat prescribing</w:t>
            </w:r>
          </w:p>
          <w:p w14:paraId="069C15DE" w14:textId="77777777" w:rsidR="00610BBB" w:rsidRPr="00160822" w:rsidRDefault="00610BBB" w:rsidP="00E60D54">
            <w:pPr>
              <w:pStyle w:val="ListParagraph"/>
              <w:numPr>
                <w:ilvl w:val="0"/>
                <w:numId w:val="17"/>
              </w:numPr>
              <w:spacing w:after="0"/>
            </w:pPr>
            <w:r w:rsidRPr="00160822">
              <w:t xml:space="preserve">Identifying topics for local </w:t>
            </w:r>
            <w:r>
              <w:t>audit/</w:t>
            </w:r>
            <w:r w:rsidRPr="00160822">
              <w:t>QI projects and participating in chosen projects</w:t>
            </w:r>
          </w:p>
        </w:tc>
        <w:tc>
          <w:tcPr>
            <w:tcW w:w="4927" w:type="dxa"/>
          </w:tcPr>
          <w:p w14:paraId="2CFFAB2F" w14:textId="77777777" w:rsidR="00610BBB" w:rsidRPr="00160822" w:rsidRDefault="00610BBB" w:rsidP="00E60D54">
            <w:pPr>
              <w:pStyle w:val="ListParagraph"/>
              <w:numPr>
                <w:ilvl w:val="1"/>
                <w:numId w:val="17"/>
              </w:numPr>
              <w:spacing w:after="0"/>
            </w:pPr>
            <w:r>
              <w:t>Developing e</w:t>
            </w:r>
            <w:r w:rsidRPr="00160822">
              <w:t>ffective systems for monitoring high-risk medicines</w:t>
            </w:r>
          </w:p>
          <w:p w14:paraId="6756F321" w14:textId="77777777" w:rsidR="00610BBB" w:rsidRPr="00160822" w:rsidRDefault="00610BBB" w:rsidP="00E60D54">
            <w:pPr>
              <w:pStyle w:val="ListParagraph"/>
              <w:numPr>
                <w:ilvl w:val="0"/>
                <w:numId w:val="17"/>
              </w:numPr>
              <w:spacing w:after="0"/>
            </w:pPr>
            <w:r w:rsidRPr="00160822">
              <w:t>Monitoring and improving prescribing</w:t>
            </w:r>
          </w:p>
          <w:p w14:paraId="0DBA16A7" w14:textId="77777777" w:rsidR="00610BBB" w:rsidRPr="00160822" w:rsidRDefault="00610BBB" w:rsidP="00E60D54">
            <w:pPr>
              <w:pStyle w:val="ListParagraph"/>
              <w:numPr>
                <w:ilvl w:val="0"/>
                <w:numId w:val="17"/>
              </w:numPr>
              <w:spacing w:after="0"/>
            </w:pPr>
            <w:r w:rsidRPr="00160822">
              <w:t>Effective antimicrobial stewardship</w:t>
            </w:r>
          </w:p>
          <w:p w14:paraId="3703BA18" w14:textId="77777777" w:rsidR="00610BBB" w:rsidRDefault="00610BBB" w:rsidP="00E60D54">
            <w:pPr>
              <w:pStyle w:val="ListParagraph"/>
              <w:numPr>
                <w:ilvl w:val="0"/>
                <w:numId w:val="15"/>
              </w:numPr>
              <w:spacing w:after="0"/>
            </w:pPr>
            <w:r w:rsidRPr="00160822">
              <w:t>Integrating the practice with local health and social care teams, including hospitals and care homes</w:t>
            </w:r>
          </w:p>
          <w:p w14:paraId="2506F1C1" w14:textId="77777777" w:rsidR="00610BBB" w:rsidRPr="00160822" w:rsidRDefault="00610BBB" w:rsidP="00E60D54">
            <w:pPr>
              <w:pStyle w:val="ListParagraph"/>
              <w:numPr>
                <w:ilvl w:val="0"/>
                <w:numId w:val="15"/>
              </w:numPr>
              <w:spacing w:after="0"/>
            </w:pPr>
            <w:r w:rsidRPr="00160822">
              <w:t>Using software tools to prioritise patients for medication review</w:t>
            </w:r>
          </w:p>
          <w:p w14:paraId="16753416" w14:textId="77777777" w:rsidR="00610BBB" w:rsidRPr="00160822" w:rsidRDefault="00610BBB" w:rsidP="00E60D54">
            <w:pPr>
              <w:pStyle w:val="ListParagraph"/>
              <w:numPr>
                <w:ilvl w:val="0"/>
                <w:numId w:val="15"/>
              </w:numPr>
              <w:spacing w:after="0"/>
            </w:pPr>
            <w:r w:rsidRPr="00160822">
              <w:t>Supporting medication reviews for ambulant and housebound patients, and care home residents</w:t>
            </w:r>
          </w:p>
          <w:p w14:paraId="295BE199" w14:textId="77777777" w:rsidR="00610BBB" w:rsidRPr="00160822" w:rsidRDefault="00610BBB" w:rsidP="00E60D54">
            <w:pPr>
              <w:pStyle w:val="ListParagraph"/>
              <w:numPr>
                <w:ilvl w:val="0"/>
                <w:numId w:val="15"/>
              </w:numPr>
              <w:spacing w:after="0"/>
            </w:pPr>
            <w:r w:rsidRPr="00160822">
              <w:t>Delivering person-centred consultations about medicines, encouraging shared decision making</w:t>
            </w:r>
          </w:p>
          <w:p w14:paraId="44EA6780" w14:textId="77777777" w:rsidR="00610BBB" w:rsidRPr="00160822" w:rsidRDefault="00610BBB" w:rsidP="00E60D54">
            <w:pPr>
              <w:pStyle w:val="ListParagraph"/>
              <w:numPr>
                <w:ilvl w:val="0"/>
                <w:numId w:val="15"/>
              </w:numPr>
              <w:spacing w:after="0"/>
            </w:pPr>
            <w:r w:rsidRPr="00160822">
              <w:t>Performing NHS health checks</w:t>
            </w:r>
          </w:p>
          <w:p w14:paraId="6F9166D3" w14:textId="77777777" w:rsidR="00610BBB" w:rsidRPr="00160822" w:rsidRDefault="00610BBB" w:rsidP="00E60D54">
            <w:pPr>
              <w:pStyle w:val="ListParagraph"/>
              <w:numPr>
                <w:ilvl w:val="0"/>
                <w:numId w:val="15"/>
              </w:numPr>
              <w:spacing w:after="0"/>
            </w:pPr>
            <w:r w:rsidRPr="00160822">
              <w:t>Caring for individuals with more long-term conditions (LTCs)</w:t>
            </w:r>
          </w:p>
          <w:p w14:paraId="382297E0" w14:textId="77777777" w:rsidR="00610BBB" w:rsidRDefault="00610BBB" w:rsidP="00E60D54">
            <w:pPr>
              <w:pStyle w:val="ListParagraph"/>
              <w:numPr>
                <w:ilvl w:val="0"/>
                <w:numId w:val="15"/>
              </w:numPr>
              <w:spacing w:after="0"/>
            </w:pPr>
            <w:r w:rsidRPr="00160822">
              <w:t>Providing ongoing care for specific conditions (</w:t>
            </w:r>
            <w:proofErr w:type="spellStart"/>
            <w:r w:rsidRPr="00160822">
              <w:t>eg</w:t>
            </w:r>
            <w:proofErr w:type="spellEnd"/>
            <w:r w:rsidRPr="00160822">
              <w:t>, secondary prevention of cardiovascular disease)</w:t>
            </w:r>
          </w:p>
          <w:p w14:paraId="22294385" w14:textId="77777777" w:rsidR="00610BBB" w:rsidRPr="00160822" w:rsidRDefault="00610BBB" w:rsidP="00E60D54">
            <w:pPr>
              <w:pStyle w:val="ListParagraph"/>
              <w:numPr>
                <w:ilvl w:val="0"/>
                <w:numId w:val="15"/>
              </w:numPr>
              <w:spacing w:after="0"/>
            </w:pPr>
            <w:r>
              <w:t>Participating in public health campaigns</w:t>
            </w:r>
          </w:p>
        </w:tc>
      </w:tr>
    </w:tbl>
    <w:p w14:paraId="153564FF" w14:textId="77777777" w:rsidR="00610BBB" w:rsidRDefault="00610BBB" w:rsidP="00610BBB"/>
    <w:p w14:paraId="3C704B60" w14:textId="1E4D9D33" w:rsidR="00610BBB" w:rsidRPr="007677C4" w:rsidRDefault="00610BBB" w:rsidP="00610BBB">
      <w:r>
        <w:t>Trainee pharmacists could support practices to meet the following QOF indicators (</w:t>
      </w:r>
      <w:hyperlink r:id="rId27" w:history="1">
        <w:r w:rsidRPr="00646D46">
          <w:rPr>
            <w:rStyle w:val="Hyperlink"/>
            <w:rFonts w:ascii="Arial" w:hAnsi="Arial"/>
          </w:rPr>
          <w:t>based on 23/24 guidance</w:t>
        </w:r>
      </w:hyperlink>
      <w:r>
        <w:t xml:space="preserve">). </w:t>
      </w:r>
      <w:r w:rsidRPr="00304CA0">
        <w:rPr>
          <w:i/>
          <w:iCs/>
        </w:rPr>
        <w:t>N.B. This list is not exhaustive.</w:t>
      </w:r>
      <w:r>
        <w:rPr>
          <w:i/>
          <w:iCs/>
        </w:rPr>
        <w:t xml:space="preserve"> </w:t>
      </w:r>
      <w:r>
        <w:t>They could also support with vaccination and immunisation as per the Investment and Impact Fund as part of the Network Contract DES (</w:t>
      </w:r>
      <w:hyperlink r:id="rId28" w:history="1">
        <w:r w:rsidRPr="00505A8A">
          <w:rPr>
            <w:rStyle w:val="Hyperlink"/>
            <w:rFonts w:ascii="Arial" w:hAnsi="Arial"/>
          </w:rPr>
          <w:t>based on 23/24 guidance</w:t>
        </w:r>
      </w:hyperlink>
      <w:r>
        <w:t>).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10BBB" w14:paraId="6652FA7F" w14:textId="77777777" w:rsidTr="00E60D54">
        <w:tc>
          <w:tcPr>
            <w:tcW w:w="4927" w:type="dxa"/>
          </w:tcPr>
          <w:p w14:paraId="3B087951" w14:textId="77777777" w:rsidR="00610BBB" w:rsidRPr="00525C6F" w:rsidRDefault="00610BBB" w:rsidP="00E60D54">
            <w:pPr>
              <w:pStyle w:val="ListParagraph"/>
              <w:numPr>
                <w:ilvl w:val="0"/>
                <w:numId w:val="3"/>
              </w:numPr>
              <w:spacing w:after="0"/>
              <w:rPr>
                <w:b/>
                <w:bCs/>
              </w:rPr>
            </w:pPr>
            <w:r w:rsidRPr="00525C6F">
              <w:t>Atrial fibrillation – AF001, AF006, AF008</w:t>
            </w:r>
          </w:p>
          <w:p w14:paraId="4F22F14A" w14:textId="77777777" w:rsidR="00610BBB" w:rsidRPr="00525C6F" w:rsidRDefault="00610BBB" w:rsidP="00E60D54">
            <w:pPr>
              <w:pStyle w:val="ListParagraph"/>
              <w:numPr>
                <w:ilvl w:val="0"/>
                <w:numId w:val="3"/>
              </w:numPr>
              <w:spacing w:after="0"/>
              <w:rPr>
                <w:b/>
                <w:bCs/>
              </w:rPr>
            </w:pPr>
            <w:r w:rsidRPr="00525C6F">
              <w:t>Secondary prevention of coronary heart disease – CHD001, CHD005, CHD015, CHD016</w:t>
            </w:r>
          </w:p>
          <w:p w14:paraId="0A8F8E0F" w14:textId="77777777" w:rsidR="00610BBB" w:rsidRPr="00525C6F" w:rsidRDefault="00610BBB" w:rsidP="00E60D54">
            <w:pPr>
              <w:pStyle w:val="ListParagraph"/>
              <w:numPr>
                <w:ilvl w:val="0"/>
                <w:numId w:val="3"/>
              </w:numPr>
              <w:spacing w:after="0"/>
              <w:rPr>
                <w:b/>
                <w:bCs/>
              </w:rPr>
            </w:pPr>
            <w:r w:rsidRPr="00525C6F">
              <w:t>Hypertension – HYP001, HYP003, HYP007</w:t>
            </w:r>
          </w:p>
          <w:p w14:paraId="404997B0" w14:textId="77777777" w:rsidR="00610BBB" w:rsidRPr="00525C6F" w:rsidRDefault="00610BBB" w:rsidP="00E60D54">
            <w:pPr>
              <w:pStyle w:val="ListParagraph"/>
              <w:numPr>
                <w:ilvl w:val="0"/>
                <w:numId w:val="3"/>
              </w:numPr>
              <w:spacing w:after="0"/>
              <w:rPr>
                <w:b/>
                <w:bCs/>
              </w:rPr>
            </w:pPr>
            <w:r w:rsidRPr="00525C6F">
              <w:t>Stroke and transient ischaemic attack – STIA001, STIA007, STIA014, STIA015</w:t>
            </w:r>
          </w:p>
          <w:p w14:paraId="624D044A" w14:textId="77777777" w:rsidR="00610BBB" w:rsidRPr="00525C6F" w:rsidRDefault="00610BBB" w:rsidP="00E60D54">
            <w:pPr>
              <w:pStyle w:val="ListParagraph"/>
              <w:numPr>
                <w:ilvl w:val="0"/>
                <w:numId w:val="3"/>
              </w:numPr>
              <w:spacing w:after="0"/>
              <w:rPr>
                <w:b/>
                <w:bCs/>
              </w:rPr>
            </w:pPr>
            <w:r w:rsidRPr="00525C6F">
              <w:lastRenderedPageBreak/>
              <w:t>Cholesterol control and lipid management – CHOL01, CHOL02</w:t>
            </w:r>
          </w:p>
          <w:p w14:paraId="3FAA846B" w14:textId="77777777" w:rsidR="00610BBB" w:rsidRDefault="00610BBB" w:rsidP="00E60D54">
            <w:pPr>
              <w:pStyle w:val="ListParagraph"/>
              <w:numPr>
                <w:ilvl w:val="0"/>
                <w:numId w:val="3"/>
              </w:numPr>
              <w:spacing w:after="0"/>
              <w:rPr>
                <w:lang w:eastAsia="en-GB"/>
              </w:rPr>
            </w:pPr>
            <w:r w:rsidRPr="00525C6F">
              <w:t>Diabetes mellitus – DM017, DM006, DM033, DM020, DM021, DM022, DM023</w:t>
            </w:r>
          </w:p>
        </w:tc>
        <w:tc>
          <w:tcPr>
            <w:tcW w:w="4927" w:type="dxa"/>
          </w:tcPr>
          <w:p w14:paraId="0BA6C82D" w14:textId="77777777" w:rsidR="00610BBB" w:rsidRPr="00525C6F" w:rsidRDefault="00610BBB" w:rsidP="00E60D54">
            <w:pPr>
              <w:pStyle w:val="ListParagraph"/>
              <w:numPr>
                <w:ilvl w:val="0"/>
                <w:numId w:val="3"/>
              </w:numPr>
              <w:spacing w:after="0"/>
              <w:rPr>
                <w:b/>
                <w:bCs/>
              </w:rPr>
            </w:pPr>
            <w:r w:rsidRPr="00525C6F">
              <w:lastRenderedPageBreak/>
              <w:t>Asthma – AST005, AST007</w:t>
            </w:r>
          </w:p>
          <w:p w14:paraId="185A2EE2" w14:textId="77777777" w:rsidR="00610BBB" w:rsidRPr="00525C6F" w:rsidRDefault="00610BBB" w:rsidP="00E60D54">
            <w:pPr>
              <w:pStyle w:val="ListParagraph"/>
              <w:numPr>
                <w:ilvl w:val="0"/>
                <w:numId w:val="3"/>
              </w:numPr>
              <w:spacing w:after="0"/>
              <w:rPr>
                <w:b/>
                <w:bCs/>
              </w:rPr>
            </w:pPr>
            <w:r w:rsidRPr="00525C6F">
              <w:t>Chronic obstructive pulmonary disease – COPD015, COPD010</w:t>
            </w:r>
          </w:p>
          <w:p w14:paraId="56C540FC" w14:textId="77777777" w:rsidR="00610BBB" w:rsidRPr="00525C6F" w:rsidRDefault="00610BBB" w:rsidP="00E60D54">
            <w:pPr>
              <w:pStyle w:val="ListParagraph"/>
              <w:numPr>
                <w:ilvl w:val="0"/>
                <w:numId w:val="3"/>
              </w:numPr>
              <w:spacing w:after="0"/>
              <w:rPr>
                <w:b/>
                <w:bCs/>
              </w:rPr>
            </w:pPr>
            <w:r w:rsidRPr="00525C6F">
              <w:t>Depression – DEP004</w:t>
            </w:r>
          </w:p>
          <w:p w14:paraId="685AD5D1" w14:textId="77777777" w:rsidR="00610BBB" w:rsidRPr="00525C6F" w:rsidRDefault="00610BBB" w:rsidP="00E60D54">
            <w:pPr>
              <w:pStyle w:val="ListParagraph"/>
              <w:numPr>
                <w:ilvl w:val="0"/>
                <w:numId w:val="3"/>
              </w:numPr>
              <w:spacing w:after="0"/>
              <w:rPr>
                <w:b/>
                <w:bCs/>
              </w:rPr>
            </w:pPr>
            <w:r w:rsidRPr="00525C6F">
              <w:t>Chronic kidney disease – CKD005</w:t>
            </w:r>
          </w:p>
          <w:p w14:paraId="7FC99DB2" w14:textId="77777777" w:rsidR="00610BBB" w:rsidRPr="00525C6F" w:rsidRDefault="00610BBB" w:rsidP="00E60D54">
            <w:pPr>
              <w:pStyle w:val="ListParagraph"/>
              <w:numPr>
                <w:ilvl w:val="0"/>
                <w:numId w:val="3"/>
              </w:numPr>
              <w:spacing w:after="0"/>
              <w:rPr>
                <w:b/>
                <w:bCs/>
              </w:rPr>
            </w:pPr>
            <w:r w:rsidRPr="00525C6F">
              <w:t>Epilepsy – EP001</w:t>
            </w:r>
          </w:p>
          <w:p w14:paraId="74B3AFA5" w14:textId="77777777" w:rsidR="00610BBB" w:rsidRPr="00525C6F" w:rsidRDefault="00610BBB" w:rsidP="00E60D54">
            <w:pPr>
              <w:pStyle w:val="ListParagraph"/>
              <w:numPr>
                <w:ilvl w:val="0"/>
                <w:numId w:val="3"/>
              </w:numPr>
              <w:spacing w:after="0"/>
              <w:rPr>
                <w:b/>
                <w:bCs/>
              </w:rPr>
            </w:pPr>
            <w:r w:rsidRPr="00525C6F">
              <w:t>Osteoporosis – OST004</w:t>
            </w:r>
          </w:p>
          <w:p w14:paraId="2C66420E" w14:textId="77777777" w:rsidR="00610BBB" w:rsidRPr="00525C6F" w:rsidRDefault="00610BBB" w:rsidP="00E60D54">
            <w:pPr>
              <w:pStyle w:val="ListParagraph"/>
              <w:numPr>
                <w:ilvl w:val="0"/>
                <w:numId w:val="3"/>
              </w:numPr>
              <w:spacing w:after="0"/>
              <w:rPr>
                <w:b/>
                <w:bCs/>
              </w:rPr>
            </w:pPr>
            <w:r w:rsidRPr="00525C6F">
              <w:t>Rheumatoid arthritis – RA001</w:t>
            </w:r>
          </w:p>
          <w:p w14:paraId="6A00E953" w14:textId="77777777" w:rsidR="00610BBB" w:rsidRPr="00525C6F" w:rsidRDefault="00610BBB" w:rsidP="00E60D54">
            <w:pPr>
              <w:pStyle w:val="ListParagraph"/>
              <w:numPr>
                <w:ilvl w:val="0"/>
                <w:numId w:val="3"/>
              </w:numPr>
              <w:spacing w:after="0"/>
              <w:rPr>
                <w:b/>
                <w:bCs/>
              </w:rPr>
            </w:pPr>
            <w:r w:rsidRPr="00525C6F">
              <w:t>Blood pressure – BP002</w:t>
            </w:r>
          </w:p>
          <w:p w14:paraId="400417FA" w14:textId="77777777" w:rsidR="00610BBB" w:rsidRPr="00525C6F" w:rsidRDefault="00610BBB" w:rsidP="00E60D54">
            <w:pPr>
              <w:pStyle w:val="ListParagraph"/>
              <w:numPr>
                <w:ilvl w:val="0"/>
                <w:numId w:val="3"/>
              </w:numPr>
              <w:spacing w:after="0"/>
              <w:rPr>
                <w:b/>
                <w:bCs/>
              </w:rPr>
            </w:pPr>
            <w:r w:rsidRPr="00525C6F">
              <w:lastRenderedPageBreak/>
              <w:t>Obesity – OB003</w:t>
            </w:r>
          </w:p>
          <w:p w14:paraId="7818B133" w14:textId="77777777" w:rsidR="00610BBB" w:rsidRPr="00F2015E" w:rsidRDefault="00610BBB" w:rsidP="00E60D54">
            <w:pPr>
              <w:pStyle w:val="ListParagraph"/>
              <w:numPr>
                <w:ilvl w:val="0"/>
                <w:numId w:val="3"/>
              </w:numPr>
              <w:spacing w:after="0"/>
              <w:rPr>
                <w:b/>
                <w:bCs/>
              </w:rPr>
            </w:pPr>
            <w:r w:rsidRPr="00525C6F">
              <w:t>Smoking – SMOK002, SMOK004, SMOK005</w:t>
            </w:r>
          </w:p>
        </w:tc>
      </w:tr>
    </w:tbl>
    <w:p w14:paraId="1860B57A" w14:textId="77777777" w:rsidR="00610BBB" w:rsidRDefault="00610BBB" w:rsidP="00610BBB">
      <w:pPr>
        <w:spacing w:after="120"/>
      </w:pPr>
    </w:p>
    <w:p w14:paraId="511ECCE8" w14:textId="77777777" w:rsidR="00610BBB" w:rsidRDefault="00610BBB" w:rsidP="00610BBB">
      <w:pPr>
        <w:spacing w:after="120"/>
      </w:pPr>
      <w:r w:rsidRPr="0068627D">
        <w:rPr>
          <w:b/>
          <w:bCs/>
        </w:rPr>
        <w:t>Example:</w:t>
      </w:r>
      <w:r>
        <w:t xml:space="preserve"> </w:t>
      </w:r>
    </w:p>
    <w:p w14:paraId="67C558EF" w14:textId="5772DB76" w:rsidR="00610BBB" w:rsidRDefault="00610BBB" w:rsidP="00610BBB">
      <w:r>
        <w:t>If</w:t>
      </w:r>
      <w:r w:rsidRPr="0001525A">
        <w:t xml:space="preserve"> </w:t>
      </w:r>
      <w:r>
        <w:t xml:space="preserve">an </w:t>
      </w:r>
      <w:r w:rsidRPr="0001525A">
        <w:t xml:space="preserve">average surgery </w:t>
      </w:r>
      <w:r>
        <w:t xml:space="preserve">utilised a trainee pharmacist to support activities to </w:t>
      </w:r>
      <w:r w:rsidRPr="0001525A">
        <w:t>me</w:t>
      </w:r>
      <w:r>
        <w:t>e</w:t>
      </w:r>
      <w:r w:rsidRPr="0001525A">
        <w:t>t their QOF CHOL001 and 002 this would give them approx. £6k per practice</w:t>
      </w:r>
      <w:r>
        <w:t>. For the trainee pharmacist, t</w:t>
      </w:r>
      <w:r w:rsidRPr="0001525A">
        <w:t xml:space="preserve">his type of activity </w:t>
      </w:r>
      <w:r>
        <w:t xml:space="preserve">could easily map </w:t>
      </w:r>
      <w:r w:rsidRPr="0001525A">
        <w:t>to</w:t>
      </w:r>
      <w:r>
        <w:t xml:space="preserve"> the </w:t>
      </w:r>
      <w:r w:rsidRPr="0001525A">
        <w:t xml:space="preserve">Learning Outcomes </w:t>
      </w:r>
      <w:r>
        <w:t xml:space="preserve">they need to demonstrate </w:t>
      </w:r>
      <w:r w:rsidRPr="0001525A">
        <w:t>around consultation skills and IT searching/audits and shared decision making re cholesterol therapies</w:t>
      </w:r>
      <w:r>
        <w:t>.</w:t>
      </w:r>
    </w:p>
    <w:sectPr w:rsidR="00610BBB" w:rsidSect="008650CC">
      <w:headerReference w:type="default" r:id="rId29"/>
      <w:pgSz w:w="11906" w:h="16838"/>
      <w:pgMar w:top="2268" w:right="1021" w:bottom="1021" w:left="1021" w:header="45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8F076" w14:textId="77777777" w:rsidR="008650CC" w:rsidRDefault="008650CC" w:rsidP="000C24AF">
      <w:pPr>
        <w:spacing w:after="0"/>
      </w:pPr>
      <w:r>
        <w:separator/>
      </w:r>
    </w:p>
  </w:endnote>
  <w:endnote w:type="continuationSeparator" w:id="0">
    <w:p w14:paraId="46088602" w14:textId="77777777" w:rsidR="008650CC" w:rsidRDefault="008650CC" w:rsidP="000C24AF">
      <w:pPr>
        <w:spacing w:after="0"/>
      </w:pPr>
      <w:r>
        <w:continuationSeparator/>
      </w:r>
    </w:p>
  </w:endnote>
  <w:endnote w:type="continuationNotice" w:id="1">
    <w:p w14:paraId="229D0253" w14:textId="77777777" w:rsidR="008650CC" w:rsidRDefault="008650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9CFBE" w14:textId="77777777" w:rsidR="008650CC" w:rsidRDefault="008650CC" w:rsidP="000C24AF">
      <w:pPr>
        <w:spacing w:after="0"/>
      </w:pPr>
      <w:r>
        <w:separator/>
      </w:r>
    </w:p>
  </w:footnote>
  <w:footnote w:type="continuationSeparator" w:id="0">
    <w:p w14:paraId="2CD86D9E" w14:textId="77777777" w:rsidR="008650CC" w:rsidRDefault="008650CC" w:rsidP="000C24AF">
      <w:pPr>
        <w:spacing w:after="0"/>
      </w:pPr>
      <w:r>
        <w:continuationSeparator/>
      </w:r>
    </w:p>
  </w:footnote>
  <w:footnote w:type="continuationNotice" w:id="1">
    <w:p w14:paraId="3102E16B" w14:textId="77777777" w:rsidR="008650CC" w:rsidRDefault="008650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511B9" w14:textId="77777777" w:rsidR="002855F7" w:rsidRDefault="00101883" w:rsidP="00101883">
    <w:pPr>
      <w:pStyle w:val="Header"/>
      <w:pBdr>
        <w:bottom w:val="none" w:sz="0" w:space="0" w:color="auto"/>
      </w:pBdr>
    </w:pPr>
    <w:r>
      <w:rPr>
        <w:rFonts w:asciiTheme="minorHAnsi" w:hAnsiTheme="minorHAnsi"/>
        <w:b/>
        <w:bCs/>
        <w:noProof/>
        <w:lang w:eastAsia="en-GB"/>
      </w:rPr>
      <w:drawing>
        <wp:anchor distT="0" distB="0" distL="114300" distR="114300" simplePos="0" relativeHeight="251658241" behindDoc="1" locked="0" layoutInCell="1" allowOverlap="1" wp14:anchorId="7D643E61" wp14:editId="09BA0A80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1839600" cy="1519200"/>
          <wp:effectExtent l="0" t="0" r="0" b="0"/>
          <wp:wrapTight wrapText="bothSides">
            <wp:wrapPolygon edited="0">
              <wp:start x="4324" y="5237"/>
              <wp:lineTo x="4324" y="16254"/>
              <wp:lineTo x="5667" y="17157"/>
              <wp:lineTo x="8351" y="17518"/>
              <wp:lineTo x="9693" y="17518"/>
              <wp:lineTo x="14763" y="17157"/>
              <wp:lineTo x="17149" y="16254"/>
              <wp:lineTo x="16851" y="5237"/>
              <wp:lineTo x="4324" y="5237"/>
            </wp:wrapPolygon>
          </wp:wrapTight>
          <wp:docPr id="1456639138" name="Picture 1456639138" descr="NHS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639138" name="Picture 1456639138" descr="NHS England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A5DB78" w14:textId="77777777" w:rsidR="002855F7" w:rsidRDefault="002855F7" w:rsidP="00101883">
    <w:pPr>
      <w:pStyle w:val="Header"/>
      <w:pBdr>
        <w:bottom w:val="none" w:sz="0" w:space="0" w:color="auto"/>
      </w:pBdr>
    </w:pPr>
  </w:p>
  <w:p w14:paraId="02E16EB4" w14:textId="77777777" w:rsidR="00F25CC7" w:rsidRPr="001D243C" w:rsidRDefault="002855F7" w:rsidP="00101883">
    <w:pPr>
      <w:pStyle w:val="Header"/>
      <w:pBdr>
        <w:bottom w:val="none" w:sz="0" w:space="0" w:color="auto"/>
      </w:pBdr>
    </w:pPr>
    <w:r w:rsidRPr="00DD3B24">
      <w:rPr>
        <w:noProof/>
      </w:rPr>
      <w:drawing>
        <wp:anchor distT="0" distB="0" distL="114300" distR="114300" simplePos="0" relativeHeight="251658240" behindDoc="1" locked="1" layoutInCell="1" allowOverlap="0" wp14:anchorId="41317C55" wp14:editId="227BACAF">
          <wp:simplePos x="0" y="0"/>
          <wp:positionH relativeFrom="leftMargin">
            <wp:posOffset>3964305</wp:posOffset>
          </wp:positionH>
          <wp:positionV relativeFrom="page">
            <wp:posOffset>10200005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1157934657" name="Picture 11579346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234"/>
    <w:multiLevelType w:val="hybridMultilevel"/>
    <w:tmpl w:val="D5664BA8"/>
    <w:lvl w:ilvl="0" w:tplc="0060DFB8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459DB"/>
    <w:multiLevelType w:val="hybridMultilevel"/>
    <w:tmpl w:val="B064A1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11F21"/>
    <w:multiLevelType w:val="hybridMultilevel"/>
    <w:tmpl w:val="E7345F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6C3D9D"/>
    <w:multiLevelType w:val="hybridMultilevel"/>
    <w:tmpl w:val="BBCE71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1478648B"/>
    <w:multiLevelType w:val="hybridMultilevel"/>
    <w:tmpl w:val="DCBA69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DD088C"/>
    <w:multiLevelType w:val="hybridMultilevel"/>
    <w:tmpl w:val="1F9AD6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BB6088"/>
    <w:multiLevelType w:val="hybridMultilevel"/>
    <w:tmpl w:val="0FC45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401F2"/>
    <w:multiLevelType w:val="hybridMultilevel"/>
    <w:tmpl w:val="7EEC84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BC04EA"/>
    <w:multiLevelType w:val="hybridMultilevel"/>
    <w:tmpl w:val="80B64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533BB"/>
    <w:multiLevelType w:val="hybridMultilevel"/>
    <w:tmpl w:val="9EB89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523B8"/>
    <w:multiLevelType w:val="hybridMultilevel"/>
    <w:tmpl w:val="EA02D5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245447"/>
    <w:multiLevelType w:val="hybridMultilevel"/>
    <w:tmpl w:val="7526C2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FA59C6"/>
    <w:multiLevelType w:val="hybridMultilevel"/>
    <w:tmpl w:val="39BEBE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3D5463"/>
    <w:multiLevelType w:val="hybridMultilevel"/>
    <w:tmpl w:val="2DB24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3C6786"/>
    <w:multiLevelType w:val="hybridMultilevel"/>
    <w:tmpl w:val="82DCCD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A2589D"/>
    <w:multiLevelType w:val="hybridMultilevel"/>
    <w:tmpl w:val="56489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D1642A"/>
    <w:multiLevelType w:val="hybridMultilevel"/>
    <w:tmpl w:val="FD3EC1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9795252">
    <w:abstractNumId w:val="0"/>
  </w:num>
  <w:num w:numId="2" w16cid:durableId="1394693074">
    <w:abstractNumId w:val="10"/>
  </w:num>
  <w:num w:numId="3" w16cid:durableId="1532574873">
    <w:abstractNumId w:val="17"/>
  </w:num>
  <w:num w:numId="4" w16cid:durableId="826240315">
    <w:abstractNumId w:val="9"/>
  </w:num>
  <w:num w:numId="5" w16cid:durableId="1682127117">
    <w:abstractNumId w:val="16"/>
  </w:num>
  <w:num w:numId="6" w16cid:durableId="482309365">
    <w:abstractNumId w:val="7"/>
  </w:num>
  <w:num w:numId="7" w16cid:durableId="307710637">
    <w:abstractNumId w:val="4"/>
  </w:num>
  <w:num w:numId="8" w16cid:durableId="1839421434">
    <w:abstractNumId w:val="14"/>
  </w:num>
  <w:num w:numId="9" w16cid:durableId="1726904383">
    <w:abstractNumId w:val="11"/>
  </w:num>
  <w:num w:numId="10" w16cid:durableId="1605575932">
    <w:abstractNumId w:val="1"/>
  </w:num>
  <w:num w:numId="11" w16cid:durableId="701134558">
    <w:abstractNumId w:val="15"/>
  </w:num>
  <w:num w:numId="12" w16cid:durableId="340592026">
    <w:abstractNumId w:val="5"/>
  </w:num>
  <w:num w:numId="13" w16cid:durableId="1343774311">
    <w:abstractNumId w:val="13"/>
  </w:num>
  <w:num w:numId="14" w16cid:durableId="1773209516">
    <w:abstractNumId w:val="2"/>
  </w:num>
  <w:num w:numId="15" w16cid:durableId="551695505">
    <w:abstractNumId w:val="12"/>
  </w:num>
  <w:num w:numId="16" w16cid:durableId="839739833">
    <w:abstractNumId w:val="8"/>
  </w:num>
  <w:num w:numId="17" w16cid:durableId="1184243360">
    <w:abstractNumId w:val="3"/>
  </w:num>
  <w:num w:numId="18" w16cid:durableId="176286960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C4"/>
    <w:rsid w:val="00000197"/>
    <w:rsid w:val="000005C7"/>
    <w:rsid w:val="00001655"/>
    <w:rsid w:val="0000416F"/>
    <w:rsid w:val="000108B8"/>
    <w:rsid w:val="0001164C"/>
    <w:rsid w:val="0001525A"/>
    <w:rsid w:val="00031206"/>
    <w:rsid w:val="00031741"/>
    <w:rsid w:val="0003185C"/>
    <w:rsid w:val="00031FD0"/>
    <w:rsid w:val="00036620"/>
    <w:rsid w:val="00036E96"/>
    <w:rsid w:val="00050F6C"/>
    <w:rsid w:val="00051139"/>
    <w:rsid w:val="00055630"/>
    <w:rsid w:val="00057EDA"/>
    <w:rsid w:val="00061452"/>
    <w:rsid w:val="00070F54"/>
    <w:rsid w:val="000733A2"/>
    <w:rsid w:val="00080503"/>
    <w:rsid w:val="00081A29"/>
    <w:rsid w:val="0008313C"/>
    <w:rsid w:val="000863E2"/>
    <w:rsid w:val="00095621"/>
    <w:rsid w:val="000A06CE"/>
    <w:rsid w:val="000A266D"/>
    <w:rsid w:val="000A64E4"/>
    <w:rsid w:val="000A7DDA"/>
    <w:rsid w:val="000B0C57"/>
    <w:rsid w:val="000C1715"/>
    <w:rsid w:val="000C2447"/>
    <w:rsid w:val="000C24AF"/>
    <w:rsid w:val="000D39C3"/>
    <w:rsid w:val="000E2EBE"/>
    <w:rsid w:val="000E38A7"/>
    <w:rsid w:val="00101883"/>
    <w:rsid w:val="0010192E"/>
    <w:rsid w:val="00103F4D"/>
    <w:rsid w:val="0010592F"/>
    <w:rsid w:val="00109571"/>
    <w:rsid w:val="00113EEC"/>
    <w:rsid w:val="00121A3A"/>
    <w:rsid w:val="00127C11"/>
    <w:rsid w:val="00132372"/>
    <w:rsid w:val="00145460"/>
    <w:rsid w:val="0015507F"/>
    <w:rsid w:val="00156435"/>
    <w:rsid w:val="00160822"/>
    <w:rsid w:val="00165DED"/>
    <w:rsid w:val="001716E5"/>
    <w:rsid w:val="00183FF3"/>
    <w:rsid w:val="00184344"/>
    <w:rsid w:val="0018792D"/>
    <w:rsid w:val="00192D7A"/>
    <w:rsid w:val="001C3565"/>
    <w:rsid w:val="001C6937"/>
    <w:rsid w:val="001D243C"/>
    <w:rsid w:val="001E004E"/>
    <w:rsid w:val="001E27F8"/>
    <w:rsid w:val="001E320D"/>
    <w:rsid w:val="001F3126"/>
    <w:rsid w:val="002139BC"/>
    <w:rsid w:val="00216ED9"/>
    <w:rsid w:val="0022134A"/>
    <w:rsid w:val="0022596F"/>
    <w:rsid w:val="00240B6E"/>
    <w:rsid w:val="00241176"/>
    <w:rsid w:val="00246075"/>
    <w:rsid w:val="00251B94"/>
    <w:rsid w:val="002563FA"/>
    <w:rsid w:val="00270DAD"/>
    <w:rsid w:val="00280788"/>
    <w:rsid w:val="00281A64"/>
    <w:rsid w:val="002855F7"/>
    <w:rsid w:val="00294488"/>
    <w:rsid w:val="002A3F48"/>
    <w:rsid w:val="002A45CD"/>
    <w:rsid w:val="002A45EE"/>
    <w:rsid w:val="002B3BFD"/>
    <w:rsid w:val="002C0816"/>
    <w:rsid w:val="002D4115"/>
    <w:rsid w:val="002E0C89"/>
    <w:rsid w:val="002E5203"/>
    <w:rsid w:val="002E7F3A"/>
    <w:rsid w:val="002F4C7B"/>
    <w:rsid w:val="002F7B8F"/>
    <w:rsid w:val="003037E4"/>
    <w:rsid w:val="00304CA0"/>
    <w:rsid w:val="00325B1C"/>
    <w:rsid w:val="00333039"/>
    <w:rsid w:val="0033715E"/>
    <w:rsid w:val="003422C6"/>
    <w:rsid w:val="00343F59"/>
    <w:rsid w:val="0034439B"/>
    <w:rsid w:val="0034560E"/>
    <w:rsid w:val="0034711E"/>
    <w:rsid w:val="0035386A"/>
    <w:rsid w:val="0035464A"/>
    <w:rsid w:val="00356F6D"/>
    <w:rsid w:val="003656AA"/>
    <w:rsid w:val="003667F1"/>
    <w:rsid w:val="00385D5C"/>
    <w:rsid w:val="00395811"/>
    <w:rsid w:val="003A4B22"/>
    <w:rsid w:val="003B2686"/>
    <w:rsid w:val="003B3A5B"/>
    <w:rsid w:val="003B6BB4"/>
    <w:rsid w:val="003D3A42"/>
    <w:rsid w:val="003D5B7C"/>
    <w:rsid w:val="003D6776"/>
    <w:rsid w:val="003D6F92"/>
    <w:rsid w:val="003E04E7"/>
    <w:rsid w:val="003E162C"/>
    <w:rsid w:val="003E36E1"/>
    <w:rsid w:val="003F11D7"/>
    <w:rsid w:val="003F7B0C"/>
    <w:rsid w:val="00411D1D"/>
    <w:rsid w:val="00413AC3"/>
    <w:rsid w:val="00414E8D"/>
    <w:rsid w:val="0041618D"/>
    <w:rsid w:val="00416F72"/>
    <w:rsid w:val="00420E7F"/>
    <w:rsid w:val="00423FAF"/>
    <w:rsid w:val="004267F6"/>
    <w:rsid w:val="00427636"/>
    <w:rsid w:val="00430131"/>
    <w:rsid w:val="00435CA2"/>
    <w:rsid w:val="00443088"/>
    <w:rsid w:val="00455A3F"/>
    <w:rsid w:val="00472D33"/>
    <w:rsid w:val="00484783"/>
    <w:rsid w:val="00487D04"/>
    <w:rsid w:val="00491977"/>
    <w:rsid w:val="00497DE0"/>
    <w:rsid w:val="004C4CA5"/>
    <w:rsid w:val="004D16FF"/>
    <w:rsid w:val="004D763F"/>
    <w:rsid w:val="004E46D3"/>
    <w:rsid w:val="004F0A67"/>
    <w:rsid w:val="004F1337"/>
    <w:rsid w:val="004F28CE"/>
    <w:rsid w:val="004F5000"/>
    <w:rsid w:val="004F6303"/>
    <w:rsid w:val="005014AF"/>
    <w:rsid w:val="00505A8A"/>
    <w:rsid w:val="005249FA"/>
    <w:rsid w:val="00525C6F"/>
    <w:rsid w:val="0052756A"/>
    <w:rsid w:val="00534180"/>
    <w:rsid w:val="00537C4B"/>
    <w:rsid w:val="00544C0C"/>
    <w:rsid w:val="00551F73"/>
    <w:rsid w:val="005626A9"/>
    <w:rsid w:val="005634F0"/>
    <w:rsid w:val="00564333"/>
    <w:rsid w:val="00576D92"/>
    <w:rsid w:val="00577A42"/>
    <w:rsid w:val="0058121B"/>
    <w:rsid w:val="005813BF"/>
    <w:rsid w:val="00584D6A"/>
    <w:rsid w:val="00590D21"/>
    <w:rsid w:val="005A3B89"/>
    <w:rsid w:val="005B0C8F"/>
    <w:rsid w:val="005C068C"/>
    <w:rsid w:val="005C2644"/>
    <w:rsid w:val="005D3444"/>
    <w:rsid w:val="005D4E5A"/>
    <w:rsid w:val="005D61B4"/>
    <w:rsid w:val="005D7889"/>
    <w:rsid w:val="005E044E"/>
    <w:rsid w:val="005E14DA"/>
    <w:rsid w:val="005F0146"/>
    <w:rsid w:val="005F0359"/>
    <w:rsid w:val="005F50C3"/>
    <w:rsid w:val="006016A1"/>
    <w:rsid w:val="00601DBA"/>
    <w:rsid w:val="00610BBB"/>
    <w:rsid w:val="00613251"/>
    <w:rsid w:val="00614F79"/>
    <w:rsid w:val="00616632"/>
    <w:rsid w:val="00630459"/>
    <w:rsid w:val="0063502E"/>
    <w:rsid w:val="00642F66"/>
    <w:rsid w:val="00646D46"/>
    <w:rsid w:val="00654EE0"/>
    <w:rsid w:val="00671B7A"/>
    <w:rsid w:val="00675E35"/>
    <w:rsid w:val="00677EC6"/>
    <w:rsid w:val="00682D8A"/>
    <w:rsid w:val="00684633"/>
    <w:rsid w:val="0068627D"/>
    <w:rsid w:val="006871DC"/>
    <w:rsid w:val="00690585"/>
    <w:rsid w:val="00692041"/>
    <w:rsid w:val="00694FC4"/>
    <w:rsid w:val="006A0873"/>
    <w:rsid w:val="006C23B6"/>
    <w:rsid w:val="006C2429"/>
    <w:rsid w:val="006D02E8"/>
    <w:rsid w:val="006D6F35"/>
    <w:rsid w:val="006E10ED"/>
    <w:rsid w:val="006E72BA"/>
    <w:rsid w:val="006F37F0"/>
    <w:rsid w:val="00702B4D"/>
    <w:rsid w:val="00710E40"/>
    <w:rsid w:val="00711C37"/>
    <w:rsid w:val="00712FA6"/>
    <w:rsid w:val="0071497F"/>
    <w:rsid w:val="00723A85"/>
    <w:rsid w:val="00731E69"/>
    <w:rsid w:val="0073429A"/>
    <w:rsid w:val="0073537A"/>
    <w:rsid w:val="00750E29"/>
    <w:rsid w:val="00752EB1"/>
    <w:rsid w:val="00753953"/>
    <w:rsid w:val="00761E45"/>
    <w:rsid w:val="00763FA3"/>
    <w:rsid w:val="007663CB"/>
    <w:rsid w:val="007677C4"/>
    <w:rsid w:val="00796E96"/>
    <w:rsid w:val="00797811"/>
    <w:rsid w:val="00797BBD"/>
    <w:rsid w:val="007A1D0E"/>
    <w:rsid w:val="007B294C"/>
    <w:rsid w:val="007B4A6E"/>
    <w:rsid w:val="007B5BFD"/>
    <w:rsid w:val="007B6E71"/>
    <w:rsid w:val="007C5811"/>
    <w:rsid w:val="007D26AF"/>
    <w:rsid w:val="007D4F48"/>
    <w:rsid w:val="007D733C"/>
    <w:rsid w:val="007E4138"/>
    <w:rsid w:val="007E7160"/>
    <w:rsid w:val="007F4B61"/>
    <w:rsid w:val="007F5954"/>
    <w:rsid w:val="00801629"/>
    <w:rsid w:val="00811876"/>
    <w:rsid w:val="008123F1"/>
    <w:rsid w:val="0081321A"/>
    <w:rsid w:val="0081544B"/>
    <w:rsid w:val="0082472D"/>
    <w:rsid w:val="008255C4"/>
    <w:rsid w:val="00846D97"/>
    <w:rsid w:val="00853A57"/>
    <w:rsid w:val="00855D19"/>
    <w:rsid w:val="00856061"/>
    <w:rsid w:val="00856D52"/>
    <w:rsid w:val="008625E8"/>
    <w:rsid w:val="00864885"/>
    <w:rsid w:val="008650CC"/>
    <w:rsid w:val="008744B1"/>
    <w:rsid w:val="00880D4A"/>
    <w:rsid w:val="00897829"/>
    <w:rsid w:val="008B2C42"/>
    <w:rsid w:val="008C5694"/>
    <w:rsid w:val="008C7569"/>
    <w:rsid w:val="008D2816"/>
    <w:rsid w:val="008D2A5B"/>
    <w:rsid w:val="008D5572"/>
    <w:rsid w:val="008D5953"/>
    <w:rsid w:val="008E2296"/>
    <w:rsid w:val="008F1CD1"/>
    <w:rsid w:val="00904E7F"/>
    <w:rsid w:val="00905552"/>
    <w:rsid w:val="0091657A"/>
    <w:rsid w:val="00917854"/>
    <w:rsid w:val="009178D5"/>
    <w:rsid w:val="00922AD1"/>
    <w:rsid w:val="00930113"/>
    <w:rsid w:val="00931253"/>
    <w:rsid w:val="00937B70"/>
    <w:rsid w:val="0094128E"/>
    <w:rsid w:val="0094166F"/>
    <w:rsid w:val="00970C89"/>
    <w:rsid w:val="00975A46"/>
    <w:rsid w:val="00985A6E"/>
    <w:rsid w:val="00987163"/>
    <w:rsid w:val="00990E1C"/>
    <w:rsid w:val="0099162A"/>
    <w:rsid w:val="009970A6"/>
    <w:rsid w:val="009A0001"/>
    <w:rsid w:val="009A6810"/>
    <w:rsid w:val="009B0321"/>
    <w:rsid w:val="009B1F8D"/>
    <w:rsid w:val="009B47EA"/>
    <w:rsid w:val="009C24A1"/>
    <w:rsid w:val="009C27F0"/>
    <w:rsid w:val="009C69FB"/>
    <w:rsid w:val="009D24D4"/>
    <w:rsid w:val="009D4A30"/>
    <w:rsid w:val="009E5A15"/>
    <w:rsid w:val="009F09FD"/>
    <w:rsid w:val="009F1650"/>
    <w:rsid w:val="009F4912"/>
    <w:rsid w:val="009F7412"/>
    <w:rsid w:val="00A02EEF"/>
    <w:rsid w:val="00A03469"/>
    <w:rsid w:val="00A124B9"/>
    <w:rsid w:val="00A21472"/>
    <w:rsid w:val="00A24407"/>
    <w:rsid w:val="00A26314"/>
    <w:rsid w:val="00A268E2"/>
    <w:rsid w:val="00A368B6"/>
    <w:rsid w:val="00A56F39"/>
    <w:rsid w:val="00A646D7"/>
    <w:rsid w:val="00A66950"/>
    <w:rsid w:val="00A7103E"/>
    <w:rsid w:val="00A7265F"/>
    <w:rsid w:val="00A74B74"/>
    <w:rsid w:val="00A75B7E"/>
    <w:rsid w:val="00A765AC"/>
    <w:rsid w:val="00A805F7"/>
    <w:rsid w:val="00A812B3"/>
    <w:rsid w:val="00AB3248"/>
    <w:rsid w:val="00AB731C"/>
    <w:rsid w:val="00AC103C"/>
    <w:rsid w:val="00AC5BE6"/>
    <w:rsid w:val="00AC7958"/>
    <w:rsid w:val="00AD031B"/>
    <w:rsid w:val="00AD1399"/>
    <w:rsid w:val="00AE0AB1"/>
    <w:rsid w:val="00AE1960"/>
    <w:rsid w:val="00AE45DB"/>
    <w:rsid w:val="00AE554A"/>
    <w:rsid w:val="00AE6B55"/>
    <w:rsid w:val="00AF7217"/>
    <w:rsid w:val="00B051B5"/>
    <w:rsid w:val="00B16B4D"/>
    <w:rsid w:val="00B23C57"/>
    <w:rsid w:val="00B27B81"/>
    <w:rsid w:val="00B30247"/>
    <w:rsid w:val="00B343FF"/>
    <w:rsid w:val="00B36F85"/>
    <w:rsid w:val="00B41A51"/>
    <w:rsid w:val="00B44DD5"/>
    <w:rsid w:val="00B571DB"/>
    <w:rsid w:val="00B57496"/>
    <w:rsid w:val="00B674F1"/>
    <w:rsid w:val="00B677A9"/>
    <w:rsid w:val="00B738AB"/>
    <w:rsid w:val="00B77C41"/>
    <w:rsid w:val="00B8018A"/>
    <w:rsid w:val="00B81669"/>
    <w:rsid w:val="00B843CF"/>
    <w:rsid w:val="00B907B5"/>
    <w:rsid w:val="00BA2F33"/>
    <w:rsid w:val="00BA4A0B"/>
    <w:rsid w:val="00BA6DA0"/>
    <w:rsid w:val="00BB7FF1"/>
    <w:rsid w:val="00BC2AB2"/>
    <w:rsid w:val="00BC5961"/>
    <w:rsid w:val="00BC78C6"/>
    <w:rsid w:val="00BD3D14"/>
    <w:rsid w:val="00BD6993"/>
    <w:rsid w:val="00BE0046"/>
    <w:rsid w:val="00BE57EB"/>
    <w:rsid w:val="00BE6447"/>
    <w:rsid w:val="00BF49DE"/>
    <w:rsid w:val="00C01D97"/>
    <w:rsid w:val="00C021AB"/>
    <w:rsid w:val="00C04E4D"/>
    <w:rsid w:val="00C057D8"/>
    <w:rsid w:val="00C07F6B"/>
    <w:rsid w:val="00C2418C"/>
    <w:rsid w:val="00C2506B"/>
    <w:rsid w:val="00C37063"/>
    <w:rsid w:val="00C40AAB"/>
    <w:rsid w:val="00C52947"/>
    <w:rsid w:val="00C62ED5"/>
    <w:rsid w:val="00C67367"/>
    <w:rsid w:val="00C846FE"/>
    <w:rsid w:val="00C92413"/>
    <w:rsid w:val="00C93FDC"/>
    <w:rsid w:val="00CA0FAC"/>
    <w:rsid w:val="00CA667A"/>
    <w:rsid w:val="00CB4646"/>
    <w:rsid w:val="00CC7ACB"/>
    <w:rsid w:val="00CC7B1C"/>
    <w:rsid w:val="00CC7ED4"/>
    <w:rsid w:val="00CD56D6"/>
    <w:rsid w:val="00CE086C"/>
    <w:rsid w:val="00CF0BEC"/>
    <w:rsid w:val="00CF4A61"/>
    <w:rsid w:val="00CF7DA5"/>
    <w:rsid w:val="00D00361"/>
    <w:rsid w:val="00D037B4"/>
    <w:rsid w:val="00D03991"/>
    <w:rsid w:val="00D055EE"/>
    <w:rsid w:val="00D12A4E"/>
    <w:rsid w:val="00D17B26"/>
    <w:rsid w:val="00D21A46"/>
    <w:rsid w:val="00D2315A"/>
    <w:rsid w:val="00D356F8"/>
    <w:rsid w:val="00D47DEE"/>
    <w:rsid w:val="00D50FF0"/>
    <w:rsid w:val="00D56BD6"/>
    <w:rsid w:val="00D66537"/>
    <w:rsid w:val="00D831FB"/>
    <w:rsid w:val="00D923D3"/>
    <w:rsid w:val="00D92BBC"/>
    <w:rsid w:val="00D93D0D"/>
    <w:rsid w:val="00D9543B"/>
    <w:rsid w:val="00DA589B"/>
    <w:rsid w:val="00DB6DF3"/>
    <w:rsid w:val="00DC33EE"/>
    <w:rsid w:val="00DC73DD"/>
    <w:rsid w:val="00DC7A9D"/>
    <w:rsid w:val="00DD1729"/>
    <w:rsid w:val="00DD3B24"/>
    <w:rsid w:val="00DD6AE4"/>
    <w:rsid w:val="00DD77F0"/>
    <w:rsid w:val="00DD7C30"/>
    <w:rsid w:val="00DE087F"/>
    <w:rsid w:val="00DE2359"/>
    <w:rsid w:val="00DE3AB8"/>
    <w:rsid w:val="00DF4DBC"/>
    <w:rsid w:val="00E14918"/>
    <w:rsid w:val="00E23A5D"/>
    <w:rsid w:val="00E36908"/>
    <w:rsid w:val="00E45C31"/>
    <w:rsid w:val="00E5122E"/>
    <w:rsid w:val="00E5704B"/>
    <w:rsid w:val="00E6255E"/>
    <w:rsid w:val="00E85295"/>
    <w:rsid w:val="00E86CF6"/>
    <w:rsid w:val="00EB1195"/>
    <w:rsid w:val="00EB4C88"/>
    <w:rsid w:val="00EB6372"/>
    <w:rsid w:val="00EC0BA5"/>
    <w:rsid w:val="00EC37E3"/>
    <w:rsid w:val="00EC5299"/>
    <w:rsid w:val="00ED3649"/>
    <w:rsid w:val="00EE0481"/>
    <w:rsid w:val="00EE50FF"/>
    <w:rsid w:val="00EE5720"/>
    <w:rsid w:val="00EF3177"/>
    <w:rsid w:val="00EF7E38"/>
    <w:rsid w:val="00F06F3B"/>
    <w:rsid w:val="00F13D85"/>
    <w:rsid w:val="00F2015E"/>
    <w:rsid w:val="00F25CC7"/>
    <w:rsid w:val="00F3724E"/>
    <w:rsid w:val="00F42EB9"/>
    <w:rsid w:val="00F442D8"/>
    <w:rsid w:val="00F46BAB"/>
    <w:rsid w:val="00F4737E"/>
    <w:rsid w:val="00F523E6"/>
    <w:rsid w:val="00F5718C"/>
    <w:rsid w:val="00F6054B"/>
    <w:rsid w:val="00F609E1"/>
    <w:rsid w:val="00F61204"/>
    <w:rsid w:val="00F656A1"/>
    <w:rsid w:val="00F80B30"/>
    <w:rsid w:val="00F8486E"/>
    <w:rsid w:val="00F84D98"/>
    <w:rsid w:val="00F8611A"/>
    <w:rsid w:val="00F8709D"/>
    <w:rsid w:val="00F94E17"/>
    <w:rsid w:val="00FA30C8"/>
    <w:rsid w:val="00FA4212"/>
    <w:rsid w:val="00FB0CBF"/>
    <w:rsid w:val="00FB0EE9"/>
    <w:rsid w:val="00FB2C0C"/>
    <w:rsid w:val="00FB4899"/>
    <w:rsid w:val="00FB4EB0"/>
    <w:rsid w:val="00FB788E"/>
    <w:rsid w:val="00FC1C88"/>
    <w:rsid w:val="00FE1FFE"/>
    <w:rsid w:val="00FE211E"/>
    <w:rsid w:val="00FE5353"/>
    <w:rsid w:val="00FE59C4"/>
    <w:rsid w:val="00FF4BC9"/>
    <w:rsid w:val="00FF5782"/>
    <w:rsid w:val="2B20A712"/>
    <w:rsid w:val="2D8240C5"/>
    <w:rsid w:val="3CA4D46D"/>
    <w:rsid w:val="412A3326"/>
    <w:rsid w:val="562E46DC"/>
    <w:rsid w:val="77D5F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E62ACC"/>
  <w15:docId w15:val="{35B025D1-3DD3-4C37-ADC6-F8776F2B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 w:qFormat="1"/>
    <w:lsdException w:name="toc 2" w:semiHidden="1" w:uiPriority="20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1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905552"/>
    <w:pPr>
      <w:spacing w:after="240" w:line="264" w:lineRule="auto"/>
      <w:textboxTightWrap w:val="lastLineOnly"/>
    </w:pPr>
    <w:rPr>
      <w:rFonts w:ascii="Arial" w:hAnsi="Arial"/>
      <w:color w:val="425563" w:themeColor="accent6"/>
      <w:sz w:val="24"/>
      <w:szCs w:val="24"/>
    </w:rPr>
  </w:style>
  <w:style w:type="paragraph" w:styleId="Heading1">
    <w:name w:val="heading 1"/>
    <w:next w:val="Normal"/>
    <w:link w:val="Heading1Char"/>
    <w:autoRedefine/>
    <w:uiPriority w:val="1"/>
    <w:qFormat/>
    <w:rsid w:val="00031FD0"/>
    <w:pPr>
      <w:keepNext/>
      <w:outlineLvl w:val="0"/>
    </w:pPr>
    <w:rPr>
      <w:rFonts w:ascii="Arial" w:hAnsi="Arial" w:cs="Arial"/>
      <w:b/>
      <w:bCs/>
      <w:color w:val="231F20" w:themeColor="background1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autoRedefine/>
    <w:uiPriority w:val="2"/>
    <w:qFormat/>
    <w:rsid w:val="0094128E"/>
    <w:pPr>
      <w:spacing w:before="400" w:after="180" w:line="264" w:lineRule="auto"/>
      <w:outlineLvl w:val="1"/>
    </w:pPr>
    <w:rPr>
      <w:rFonts w:ascii="Arial Bold" w:hAnsi="Arial Bold" w:cs="Arial"/>
      <w:b/>
      <w:color w:val="231F20" w:themeColor="background1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autoRedefine/>
    <w:uiPriority w:val="3"/>
    <w:qFormat/>
    <w:rsid w:val="000C2447"/>
    <w:pPr>
      <w:spacing w:before="120" w:after="120" w:line="264" w:lineRule="auto"/>
      <w:outlineLvl w:val="2"/>
    </w:pPr>
    <w:rPr>
      <w:rFonts w:ascii="Arial Bold" w:hAnsi="Arial Bold" w:cs="Arial"/>
      <w:b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autoRedefine/>
    <w:uiPriority w:val="4"/>
    <w:qFormat/>
    <w:rsid w:val="000C2447"/>
    <w:pPr>
      <w:spacing w:before="120" w:after="120" w:line="264" w:lineRule="auto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autoRedefine/>
    <w:uiPriority w:val="5"/>
    <w:qFormat/>
    <w:rsid w:val="00C01D97"/>
    <w:pPr>
      <w:keepNext/>
      <w:keepLines/>
      <w:spacing w:before="120" w:after="60" w:line="264" w:lineRule="auto"/>
      <w:outlineLvl w:val="4"/>
    </w:pPr>
    <w:rPr>
      <w:rFonts w:ascii="Arial Bold" w:eastAsiaTheme="majorEastAsia" w:hAnsi="Arial Bold" w:cs="Arial (Headings CS)"/>
      <w:b/>
      <w:color w:val="425563" w:themeColor="accent6"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2"/>
    <w:rsid w:val="0094128E"/>
    <w:rPr>
      <w:rFonts w:ascii="Arial Bold" w:hAnsi="Arial Bold" w:cs="Arial"/>
      <w:b/>
      <w:color w:val="231F20" w:themeColor="background1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1"/>
    <w:rsid w:val="00031FD0"/>
    <w:rPr>
      <w:rFonts w:ascii="Arial" w:hAnsi="Arial" w:cs="Arial"/>
      <w:b/>
      <w:bCs/>
      <w:color w:val="231F20" w:themeColor="background1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3"/>
    <w:rsid w:val="00AF7217"/>
    <w:rPr>
      <w:rFonts w:ascii="Arial Bold" w:hAnsi="Arial Bold" w:cs="Arial"/>
      <w:b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autoRedefine/>
    <w:uiPriority w:val="6"/>
    <w:qFormat/>
    <w:rsid w:val="007A1D0E"/>
    <w:pPr>
      <w:numPr>
        <w:numId w:val="1"/>
      </w:numPr>
      <w:autoSpaceDE w:val="0"/>
      <w:autoSpaceDN w:val="0"/>
      <w:adjustRightInd w:val="0"/>
      <w:spacing w:line="336" w:lineRule="auto"/>
      <w:ind w:left="340" w:hanging="340"/>
      <w:contextualSpacing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6"/>
    <w:rsid w:val="00AF7217"/>
    <w:rPr>
      <w:rFonts w:ascii="Arial" w:hAnsi="Arial" w:cs="FrutigerLTStd-Light"/>
      <w:color w:val="425563" w:themeColor="accent6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qFormat/>
    <w:rsid w:val="000005C7"/>
    <w:pPr>
      <w:numPr>
        <w:numId w:val="0"/>
      </w:numPr>
      <w:tabs>
        <w:tab w:val="left" w:pos="284"/>
      </w:tabs>
      <w:spacing w:after="280"/>
      <w:ind w:left="284" w:hanging="284"/>
    </w:pPr>
    <w:rPr>
      <w:sz w:val="18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rsid w:val="00240B6E"/>
    <w:rPr>
      <w:rFonts w:ascii="Arial" w:hAnsi="Arial" w:cs="FrutigerLTStd-Light"/>
      <w:color w:val="425563" w:themeColor="accent6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4"/>
    <w:rsid w:val="00AF7217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unhideWhenUsed/>
    <w:qFormat/>
    <w:rsid w:val="000005C7"/>
    <w:rPr>
      <w:rFonts w:asciiTheme="minorHAnsi" w:hAnsiTheme="minorHAnsi"/>
      <w:color w:val="003087" w:themeColor="accent1"/>
      <w:u w:val="none"/>
    </w:rPr>
  </w:style>
  <w:style w:type="paragraph" w:customStyle="1" w:styleId="Standfirst">
    <w:name w:val="Standfirst"/>
    <w:basedOn w:val="Normal"/>
    <w:link w:val="StandfirstChar"/>
    <w:autoRedefine/>
    <w:uiPriority w:val="8"/>
    <w:qFormat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8"/>
    <w:rsid w:val="00853A57"/>
    <w:rPr>
      <w:rFonts w:ascii="Arial" w:eastAsia="MS Mincho" w:hAnsi="Arial"/>
      <w:b/>
      <w:color w:val="425563" w:themeColor="accent6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qFormat/>
    <w:rsid w:val="000005C7"/>
    <w:pPr>
      <w:pBdr>
        <w:top w:val="single" w:sz="4" w:space="4" w:color="D5DDE3" w:themeColor="accent6" w:themeTint="33"/>
        <w:bottom w:val="single" w:sz="4" w:space="4" w:color="D5DDE3" w:themeColor="accent6" w:themeTint="33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qFormat/>
    <w:rsid w:val="000C24A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rsid w:val="00240B6E"/>
    <w:rPr>
      <w:rFonts w:ascii="Arial" w:eastAsia="MS Mincho" w:hAnsi="Arial" w:cs="Arial"/>
      <w:b/>
      <w:bCs w:val="0"/>
      <w:noProof/>
      <w:color w:val="231F20" w:themeColor="background1"/>
      <w:spacing w:val="-6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autoRedefine/>
    <w:uiPriority w:val="7"/>
    <w:qFormat/>
    <w:rsid w:val="00F61204"/>
    <w:pPr>
      <w:numPr>
        <w:numId w:val="2"/>
      </w:numPr>
      <w:spacing w:line="336" w:lineRule="auto"/>
      <w:ind w:left="454" w:hanging="454"/>
      <w:contextualSpacing/>
    </w:pPr>
  </w:style>
  <w:style w:type="character" w:customStyle="1" w:styleId="NumberedlistChar">
    <w:name w:val="Numbered list Char"/>
    <w:basedOn w:val="DefaultParagraphFont"/>
    <w:link w:val="Numberedlist"/>
    <w:uiPriority w:val="7"/>
    <w:rsid w:val="00AF7217"/>
    <w:rPr>
      <w:rFonts w:ascii="Arial" w:hAnsi="Arial"/>
      <w:color w:val="425563" w:themeColor="accent6"/>
      <w:sz w:val="24"/>
      <w:szCs w:val="24"/>
    </w:rPr>
  </w:style>
  <w:style w:type="paragraph" w:styleId="TOC2">
    <w:name w:val="toc 2"/>
    <w:basedOn w:val="Normal"/>
    <w:next w:val="Normal"/>
    <w:uiPriority w:val="20"/>
    <w:qFormat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qFormat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005C7"/>
    <w:rPr>
      <w:rFonts w:ascii="Arial" w:hAnsi="Arial"/>
      <w:color w:val="425563" w:themeColor="accent6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005C7"/>
    <w:rPr>
      <w:rFonts w:ascii="Arial" w:hAnsi="Arial"/>
      <w:color w:val="425563" w:themeColor="accent6"/>
      <w:spacing w:val="-4"/>
      <w:sz w:val="18"/>
      <w:szCs w:val="24"/>
    </w:rPr>
  </w:style>
  <w:style w:type="character" w:styleId="Strong">
    <w:name w:val="Strong"/>
    <w:aliases w:val="Bold"/>
    <w:uiPriority w:val="23"/>
    <w:qFormat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rsid w:val="000005C7"/>
    <w:rPr>
      <w:rFonts w:asciiTheme="minorHAnsi" w:hAnsiTheme="minorHAnsi"/>
      <w:b/>
      <w:i/>
      <w:iCs/>
      <w:color w:val="425563" w:themeColor="accent6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D243C"/>
    <w:rPr>
      <w:rFonts w:ascii="Arial" w:hAnsi="Arial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qFormat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rsid w:val="00853A57"/>
    <w:rPr>
      <w:rFonts w:ascii="Arial" w:eastAsia="MS Mincho" w:hAnsi="Arial"/>
      <w:b w:val="0"/>
      <w:color w:val="425563" w:themeColor="accent6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rsid w:val="00240B6E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5"/>
    <w:rsid w:val="00AF7217"/>
    <w:rPr>
      <w:rFonts w:ascii="Arial Bold" w:eastAsiaTheme="majorEastAsia" w:hAnsi="Arial Bold" w:cs="Arial (Headings CS)"/>
      <w:b/>
      <w:color w:val="425563" w:themeColor="accent6"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qFormat/>
    <w:rsid w:val="00F84D98"/>
    <w:pPr>
      <w:spacing w:before="400" w:after="400" w:line="264" w:lineRule="auto"/>
      <w:jc w:val="center"/>
    </w:pPr>
    <w:rPr>
      <w:rFonts w:ascii="Arial Bold" w:hAnsi="Arial Bold" w:cs="Arial"/>
      <w:b/>
      <w:bCs/>
      <w:color w:val="425563" w:themeColor="accent6"/>
      <w:kern w:val="28"/>
      <w:sz w:val="48"/>
      <w:szCs w:val="32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5B0C8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E32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32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320D"/>
    <w:rPr>
      <w:rFonts w:ascii="Arial" w:hAnsi="Arial"/>
      <w:color w:val="425563" w:themeColor="accent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2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20D"/>
    <w:rPr>
      <w:rFonts w:ascii="Arial" w:hAnsi="Arial"/>
      <w:b/>
      <w:bCs/>
      <w:color w:val="425563" w:themeColor="accent6"/>
    </w:rPr>
  </w:style>
  <w:style w:type="table" w:styleId="PlainTable2">
    <w:name w:val="Plain Table 2"/>
    <w:basedOn w:val="TableNormal"/>
    <w:uiPriority w:val="42"/>
    <w:rsid w:val="00525C6F"/>
    <w:tblPr>
      <w:tblStyleRowBandSize w:val="1"/>
      <w:tblStyleColBandSize w:val="1"/>
      <w:tblBorders>
        <w:top w:val="single" w:sz="4" w:space="0" w:color="FFFFFF" w:themeColor="text1" w:themeTint="80"/>
        <w:bottom w:val="single" w:sz="4" w:space="0" w:color="FFFF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FFFFFF" w:themeColor="text1" w:themeTint="80"/>
          <w:right w:val="single" w:sz="4" w:space="0" w:color="FFFFFF" w:themeColor="text1" w:themeTint="80"/>
        </w:tcBorders>
      </w:tcPr>
    </w:tblStylePr>
    <w:tblStylePr w:type="band2Vert">
      <w:tblPr/>
      <w:tcPr>
        <w:tcBorders>
          <w:left w:val="single" w:sz="4" w:space="0" w:color="FFFFFF" w:themeColor="text1" w:themeTint="80"/>
          <w:right w:val="single" w:sz="4" w:space="0" w:color="FFFFFF" w:themeColor="text1" w:themeTint="80"/>
        </w:tcBorders>
      </w:tcPr>
    </w:tblStylePr>
    <w:tblStylePr w:type="band1Horz">
      <w:tblPr/>
      <w:tcPr>
        <w:tcBorders>
          <w:top w:val="single" w:sz="4" w:space="0" w:color="FFFFFF" w:themeColor="text1" w:themeTint="80"/>
          <w:bottom w:val="single" w:sz="4" w:space="0" w:color="FFFFF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F2015E"/>
    <w:tblPr>
      <w:tblBorders>
        <w:top w:val="single" w:sz="4" w:space="0" w:color="1A1717" w:themeColor="background1" w:themeShade="BF"/>
        <w:left w:val="single" w:sz="4" w:space="0" w:color="1A1717" w:themeColor="background1" w:themeShade="BF"/>
        <w:bottom w:val="single" w:sz="4" w:space="0" w:color="1A1717" w:themeColor="background1" w:themeShade="BF"/>
        <w:right w:val="single" w:sz="4" w:space="0" w:color="1A1717" w:themeColor="background1" w:themeShade="BF"/>
        <w:insideH w:val="single" w:sz="4" w:space="0" w:color="1A1717" w:themeColor="background1" w:themeShade="BF"/>
        <w:insideV w:val="single" w:sz="4" w:space="0" w:color="1A1717" w:themeColor="background1" w:themeShade="BF"/>
      </w:tblBorders>
    </w:tblPr>
  </w:style>
  <w:style w:type="table" w:styleId="GridTable1Light-Accent6">
    <w:name w:val="Grid Table 1 Light Accent 6"/>
    <w:basedOn w:val="TableNormal"/>
    <w:uiPriority w:val="46"/>
    <w:rsid w:val="00E6255E"/>
    <w:tblPr>
      <w:tblStyleRowBandSize w:val="1"/>
      <w:tblStyleColBandSize w:val="1"/>
      <w:tblBorders>
        <w:top w:val="single" w:sz="4" w:space="0" w:color="ACBCC7" w:themeColor="accent6" w:themeTint="66"/>
        <w:left w:val="single" w:sz="4" w:space="0" w:color="ACBCC7" w:themeColor="accent6" w:themeTint="66"/>
        <w:bottom w:val="single" w:sz="4" w:space="0" w:color="ACBCC7" w:themeColor="accent6" w:themeTint="66"/>
        <w:right w:val="single" w:sz="4" w:space="0" w:color="ACBCC7" w:themeColor="accent6" w:themeTint="66"/>
        <w:insideH w:val="single" w:sz="4" w:space="0" w:color="ACBCC7" w:themeColor="accent6" w:themeTint="66"/>
        <w:insideV w:val="single" w:sz="4" w:space="0" w:color="ACBCC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29AA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29AA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FB2C0C"/>
    <w:rPr>
      <w:rFonts w:ascii="Arial" w:hAnsi="Arial"/>
      <w:color w:val="425563" w:themeColor="accent6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F5000"/>
    <w:pPr>
      <w:spacing w:before="100" w:beforeAutospacing="1" w:after="100" w:afterAutospacing="1" w:line="240" w:lineRule="auto"/>
      <w:textboxTightWrap w:val="none"/>
    </w:pPr>
    <w:rPr>
      <w:rFonts w:ascii="Times New Roman" w:hAnsi="Times New Roman"/>
      <w:color w:val="auto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e.nhs.uk/sites/default/files/documents/Foundation%20Training%20Site%20Requirements_25_26%20FINAL.pdf" TargetMode="External"/><Relationship Id="rId18" Type="http://schemas.openxmlformats.org/officeDocument/2006/relationships/hyperlink" Target="mailto:england.WTEpharmacy.ney@nhs.net" TargetMode="External"/><Relationship Id="rId26" Type="http://schemas.openxmlformats.org/officeDocument/2006/relationships/hyperlink" Target="mailto:england.WTEpharmacy.london@nhs.ne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england.WTEpharmacy.eoe@nhs.net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hee.nhs.uk/our-work/pharmacy/transforming-pharmacy-education-training/initial-education-training-pharmacists-reform-programme/implementing-foundation-pharmacist" TargetMode="External"/><Relationship Id="rId17" Type="http://schemas.openxmlformats.org/officeDocument/2006/relationships/hyperlink" Target="mailto:england.WTEpharmacy.nw@nhs.net" TargetMode="External"/><Relationship Id="rId25" Type="http://schemas.openxmlformats.org/officeDocument/2006/relationships/hyperlink" Target="mailto:england.WTEpharmacy.se@nhs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e.nhs.uk/sites/default/files/documents/Prescribing%20Supervision%20and%20Assessment%20in%20the%20Foundation%20Trainee%20Pharmacist%20Programme%20JAN%202024%20V1.1.pdf" TargetMode="External"/><Relationship Id="rId20" Type="http://schemas.openxmlformats.org/officeDocument/2006/relationships/hyperlink" Target="mailto:england.wtepharmacy.mids@nhs.net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harmacyregulation.org/initial-training" TargetMode="External"/><Relationship Id="rId24" Type="http://schemas.openxmlformats.org/officeDocument/2006/relationships/hyperlink" Target="mailto:england.WTEpharmacy.se@nhs.ne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asepharmacy.hee.nhs.uk/national-recruitment/" TargetMode="External"/><Relationship Id="rId23" Type="http://schemas.openxmlformats.org/officeDocument/2006/relationships/hyperlink" Target="mailto:england.WTEpharmacy.sw@nhs.net" TargetMode="External"/><Relationship Id="rId28" Type="http://schemas.openxmlformats.org/officeDocument/2006/relationships/hyperlink" Target="https://www.england.nhs.uk/wp-content/uploads/2023/03/PRN00157-ncdes-updated-contract-specification-23-24-pcn-requirements-and-entitlements-updated.pdf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england.foundationpharmacy.midlands@nhs.net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e.nhs.uk/our-work/pharmacy/transforming-pharmacy-education-training/initial-education-training-pharmacists-reform-programme/implementing-foundation-pharmacist" TargetMode="External"/><Relationship Id="rId22" Type="http://schemas.openxmlformats.org/officeDocument/2006/relationships/hyperlink" Target="mailto:england.WTEpharmacy.sw@nhs.net" TargetMode="External"/><Relationship Id="rId27" Type="http://schemas.openxmlformats.org/officeDocument/2006/relationships/hyperlink" Target="https://www.england.nhs.uk/wp-content/uploads/2023/03/PRN00289-quality-and-outcomes-framework-guidance-for-2023-24.pdf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.crawshaw\OneDrive%20-%20Health%20Education%20England\HEE\Templates\NHS%20E\Short%20document%20template%201.dotx" TargetMode="External"/></Relationship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D8FD59E56DC48A118E303ED1A530A" ma:contentTypeVersion="15" ma:contentTypeDescription="Create a new document." ma:contentTypeScope="" ma:versionID="38e1a2704fb7b8a38579a1dec3373348">
  <xsd:schema xmlns:xsd="http://www.w3.org/2001/XMLSchema" xmlns:xs="http://www.w3.org/2001/XMLSchema" xmlns:p="http://schemas.microsoft.com/office/2006/metadata/properties" xmlns:ns2="f6c36248-cf78-4b37-8fcf-a0c60c161944" xmlns:ns3="ea2d2a2e-6b94-448b-bd0e-72186e7cf6fb" targetNamespace="http://schemas.microsoft.com/office/2006/metadata/properties" ma:root="true" ma:fieldsID="534c1d6d7486d01950c560cab9e8583d" ns2:_="" ns3:_="">
    <xsd:import namespace="f6c36248-cf78-4b37-8fcf-a0c60c161944"/>
    <xsd:import namespace="ea2d2a2e-6b94-448b-bd0e-72186e7cf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36248-cf78-4b37-8fcf-a0c60c161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d2a2e-6b94-448b-bd0e-72186e7cf6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f78144b-0482-41b5-a030-502caf48742a}" ma:internalName="TaxCatchAll" ma:showField="CatchAllData" ma:web="ea2d2a2e-6b94-448b-bd0e-72186e7cf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c36248-cf78-4b37-8fcf-a0c60c161944">
      <Terms xmlns="http://schemas.microsoft.com/office/infopath/2007/PartnerControls"/>
    </lcf76f155ced4ddcb4097134ff3c332f>
    <TaxCatchAll xmlns="ea2d2a2e-6b94-448b-bd0e-72186e7cf6fb" xsi:nil="true"/>
    <SharedWithUsers xmlns="ea2d2a2e-6b94-448b-bd0e-72186e7cf6fb">
      <UserInfo>
        <DisplayName>Caroline Murphy</DisplayName>
        <AccountId>25</AccountId>
        <AccountType/>
      </UserInfo>
      <UserInfo>
        <DisplayName>Nick Haddington</DisplayName>
        <AccountId>18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8CC124-14F3-4955-82C1-94D09772F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36248-cf78-4b37-8fcf-a0c60c161944"/>
    <ds:schemaRef ds:uri="ea2d2a2e-6b94-448b-bd0e-72186e7cf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  <ds:schemaRef ds:uri="f6c36248-cf78-4b37-8fcf-a0c60c161944"/>
    <ds:schemaRef ds:uri="ea2d2a2e-6b94-448b-bd0e-72186e7cf6fb"/>
  </ds:schemaRefs>
</ds:datastoreItem>
</file>

<file path=customXml/itemProps4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 document template 1</Template>
  <TotalTime>17</TotalTime>
  <Pages>6</Pages>
  <Words>1905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document template 1</vt:lpstr>
    </vt:vector>
  </TitlesOfParts>
  <Company>Health &amp; Social Care Information Centre</Company>
  <LinksUpToDate>false</LinksUpToDate>
  <CharactersWithSpaces>12745</CharactersWithSpaces>
  <SharedDoc>false</SharedDoc>
  <HLinks>
    <vt:vector size="84" baseType="variant">
      <vt:variant>
        <vt:i4>7471126</vt:i4>
      </vt:variant>
      <vt:variant>
        <vt:i4>39</vt:i4>
      </vt:variant>
      <vt:variant>
        <vt:i4>0</vt:i4>
      </vt:variant>
      <vt:variant>
        <vt:i4>5</vt:i4>
      </vt:variant>
      <vt:variant>
        <vt:lpwstr>mailto:england.wtepharmacy.sw@nhs.net?subject=IETP%20Reforms%20Implementation%20Sessions</vt:lpwstr>
      </vt:variant>
      <vt:variant>
        <vt:lpwstr/>
      </vt:variant>
      <vt:variant>
        <vt:i4>7471126</vt:i4>
      </vt:variant>
      <vt:variant>
        <vt:i4>36</vt:i4>
      </vt:variant>
      <vt:variant>
        <vt:i4>0</vt:i4>
      </vt:variant>
      <vt:variant>
        <vt:i4>5</vt:i4>
      </vt:variant>
      <vt:variant>
        <vt:lpwstr>mailto:england.wtepharmacy.sw@nhs.net?subject=IETP%20Reforms%20Implementation%20Sessions</vt:lpwstr>
      </vt:variant>
      <vt:variant>
        <vt:lpwstr/>
      </vt:variant>
      <vt:variant>
        <vt:i4>8061017</vt:i4>
      </vt:variant>
      <vt:variant>
        <vt:i4>33</vt:i4>
      </vt:variant>
      <vt:variant>
        <vt:i4>0</vt:i4>
      </vt:variant>
      <vt:variant>
        <vt:i4>5</vt:i4>
      </vt:variant>
      <vt:variant>
        <vt:lpwstr>mailto:Juliet.Barrowman@SomersetFT.nhs.uk</vt:lpwstr>
      </vt:variant>
      <vt:variant>
        <vt:lpwstr/>
      </vt:variant>
      <vt:variant>
        <vt:i4>1507361</vt:i4>
      </vt:variant>
      <vt:variant>
        <vt:i4>30</vt:i4>
      </vt:variant>
      <vt:variant>
        <vt:i4>0</vt:i4>
      </vt:variant>
      <vt:variant>
        <vt:i4>5</vt:i4>
      </vt:variant>
      <vt:variant>
        <vt:lpwstr>mailto:adele.jones4@nhs.net</vt:lpwstr>
      </vt:variant>
      <vt:variant>
        <vt:lpwstr/>
      </vt:variant>
      <vt:variant>
        <vt:i4>1310777</vt:i4>
      </vt:variant>
      <vt:variant>
        <vt:i4>27</vt:i4>
      </vt:variant>
      <vt:variant>
        <vt:i4>0</vt:i4>
      </vt:variant>
      <vt:variant>
        <vt:i4>5</vt:i4>
      </vt:variant>
      <vt:variant>
        <vt:lpwstr>mailto:katie.griffiths3@nhs.net</vt:lpwstr>
      </vt:variant>
      <vt:variant>
        <vt:lpwstr/>
      </vt:variant>
      <vt:variant>
        <vt:i4>1245305</vt:i4>
      </vt:variant>
      <vt:variant>
        <vt:i4>24</vt:i4>
      </vt:variant>
      <vt:variant>
        <vt:i4>0</vt:i4>
      </vt:variant>
      <vt:variant>
        <vt:i4>5</vt:i4>
      </vt:variant>
      <vt:variant>
        <vt:lpwstr>mailto:david.bearman@nhs.net</vt:lpwstr>
      </vt:variant>
      <vt:variant>
        <vt:lpwstr/>
      </vt:variant>
      <vt:variant>
        <vt:i4>1048633</vt:i4>
      </vt:variant>
      <vt:variant>
        <vt:i4>21</vt:i4>
      </vt:variant>
      <vt:variant>
        <vt:i4>0</vt:i4>
      </vt:variant>
      <vt:variant>
        <vt:i4>5</vt:i4>
      </vt:variant>
      <vt:variant>
        <vt:lpwstr>mailto:victorialing@nhs.net</vt:lpwstr>
      </vt:variant>
      <vt:variant>
        <vt:lpwstr/>
      </vt:variant>
      <vt:variant>
        <vt:i4>7405661</vt:i4>
      </vt:variant>
      <vt:variant>
        <vt:i4>18</vt:i4>
      </vt:variant>
      <vt:variant>
        <vt:i4>0</vt:i4>
      </vt:variant>
      <vt:variant>
        <vt:i4>5</vt:i4>
      </vt:variant>
      <vt:variant>
        <vt:lpwstr>mailto:caroline.quinn2@nhs.net</vt:lpwstr>
      </vt:variant>
      <vt:variant>
        <vt:lpwstr/>
      </vt:variant>
      <vt:variant>
        <vt:i4>3473518</vt:i4>
      </vt:variant>
      <vt:variant>
        <vt:i4>15</vt:i4>
      </vt:variant>
      <vt:variant>
        <vt:i4>0</vt:i4>
      </vt:variant>
      <vt:variant>
        <vt:i4>5</vt:i4>
      </vt:variant>
      <vt:variant>
        <vt:lpwstr>https://www.england.nhs.uk/wp-content/uploads/2023/03/PRN00157-ncdes-updated-contract-specification-23-24-pcn-requirements-and-entitlements-updated.pdf</vt:lpwstr>
      </vt:variant>
      <vt:variant>
        <vt:lpwstr/>
      </vt:variant>
      <vt:variant>
        <vt:i4>2687029</vt:i4>
      </vt:variant>
      <vt:variant>
        <vt:i4>12</vt:i4>
      </vt:variant>
      <vt:variant>
        <vt:i4>0</vt:i4>
      </vt:variant>
      <vt:variant>
        <vt:i4>5</vt:i4>
      </vt:variant>
      <vt:variant>
        <vt:lpwstr>https://www.england.nhs.uk/wp-content/uploads/2023/03/PRN00289-quality-and-outcomes-framework-guidance-for-2023-24.pdf</vt:lpwstr>
      </vt:variant>
      <vt:variant>
        <vt:lpwstr/>
      </vt:variant>
      <vt:variant>
        <vt:i4>983116</vt:i4>
      </vt:variant>
      <vt:variant>
        <vt:i4>9</vt:i4>
      </vt:variant>
      <vt:variant>
        <vt:i4>0</vt:i4>
      </vt:variant>
      <vt:variant>
        <vt:i4>5</vt:i4>
      </vt:variant>
      <vt:variant>
        <vt:lpwstr>https://www.lasepharmacy.hee.nhs.uk/national-recruitment/</vt:lpwstr>
      </vt:variant>
      <vt:variant>
        <vt:lpwstr/>
      </vt:variant>
      <vt:variant>
        <vt:i4>4784209</vt:i4>
      </vt:variant>
      <vt:variant>
        <vt:i4>6</vt:i4>
      </vt:variant>
      <vt:variant>
        <vt:i4>0</vt:i4>
      </vt:variant>
      <vt:variant>
        <vt:i4>5</vt:i4>
      </vt:variant>
      <vt:variant>
        <vt:lpwstr>https://www.hee.nhs.uk/our-work/pharmacy/transforming-pharmacy-education-training/initial-education-training-pharmacists-reform-programme/implementing-foundation-pharmacist</vt:lpwstr>
      </vt:variant>
      <vt:variant>
        <vt:lpwstr/>
      </vt:variant>
      <vt:variant>
        <vt:i4>4784209</vt:i4>
      </vt:variant>
      <vt:variant>
        <vt:i4>3</vt:i4>
      </vt:variant>
      <vt:variant>
        <vt:i4>0</vt:i4>
      </vt:variant>
      <vt:variant>
        <vt:i4>5</vt:i4>
      </vt:variant>
      <vt:variant>
        <vt:lpwstr>https://www.hee.nhs.uk/our-work/pharmacy/transforming-pharmacy-education-training/initial-education-training-pharmacists-reform-programme/implementing-foundation-pharmacist</vt:lpwstr>
      </vt:variant>
      <vt:variant>
        <vt:lpwstr/>
      </vt:variant>
      <vt:variant>
        <vt:i4>2359402</vt:i4>
      </vt:variant>
      <vt:variant>
        <vt:i4>0</vt:i4>
      </vt:variant>
      <vt:variant>
        <vt:i4>0</vt:i4>
      </vt:variant>
      <vt:variant>
        <vt:i4>5</vt:i4>
      </vt:variant>
      <vt:variant>
        <vt:lpwstr>https://www.pharmacyregulation.org/initial-training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document template 1</dc:title>
  <dc:subject/>
  <dc:creator>Sarah Crawshaw</dc:creator>
  <cp:keywords/>
  <cp:lastModifiedBy>Craig Mair</cp:lastModifiedBy>
  <cp:revision>2</cp:revision>
  <cp:lastPrinted>2016-07-14T17:27:00Z</cp:lastPrinted>
  <dcterms:created xsi:type="dcterms:W3CDTF">2024-02-01T12:56:00Z</dcterms:created>
  <dcterms:modified xsi:type="dcterms:W3CDTF">2024-02-01T12:56:00Z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0x010100AE3D8FD59E56DC48A118E303ED1A530A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MediaServiceImageTags">
    <vt:lpwstr/>
  </property>
</Properties>
</file>